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26" w:rsidRDefault="00BF3126" w:rsidP="00BF3126">
      <w:pPr>
        <w:jc w:val="center"/>
        <w:rPr>
          <w:b/>
          <w:sz w:val="19"/>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r>
        <w:rPr>
          <w:sz w:val="28"/>
        </w:rPr>
        <w:t>OGÓLNE SPECYFIKACJE TECHNICZNE</w:t>
      </w: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7"/>
        </w:rPr>
      </w:pPr>
      <w:r>
        <w:rPr>
          <w:b/>
          <w:sz w:val="28"/>
        </w:rPr>
        <w:t>D - 04.04.04</w:t>
      </w:r>
    </w:p>
    <w:p w:rsidR="00BF3126" w:rsidRDefault="00BF3126" w:rsidP="00BF3126">
      <w:pPr>
        <w:jc w:val="center"/>
        <w:rPr>
          <w:b/>
          <w:sz w:val="27"/>
        </w:rPr>
      </w:pPr>
    </w:p>
    <w:p w:rsidR="00BF3126" w:rsidRDefault="00BF3126" w:rsidP="00BF3126">
      <w:pPr>
        <w:jc w:val="center"/>
        <w:rPr>
          <w:b/>
          <w:sz w:val="28"/>
        </w:rPr>
      </w:pPr>
      <w:r>
        <w:rPr>
          <w:b/>
          <w:sz w:val="28"/>
        </w:rPr>
        <w:t>PODBUDOWA  Z  TŁUCZNIA  KAMIENNEGO</w:t>
      </w: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suppressAutoHyphens w:val="0"/>
        <w:overflowPunct/>
        <w:autoSpaceDE/>
        <w:jc w:val="left"/>
        <w:sectPr w:rsidR="00BF3126">
          <w:footerReference w:type="default" r:id="rId7"/>
          <w:pgSz w:w="11906" w:h="16838"/>
          <w:pgMar w:top="3111" w:right="2268" w:bottom="3071" w:left="2268" w:header="2835" w:footer="2835" w:gutter="0"/>
          <w:cols w:space="708"/>
        </w:sect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BF3126">
      <w:pPr>
        <w:jc w:val="center"/>
        <w:rPr>
          <w:b/>
          <w:sz w:val="28"/>
        </w:rPr>
      </w:pPr>
    </w:p>
    <w:p w:rsidR="00BF3126" w:rsidRDefault="00BF3126" w:rsidP="00650566">
      <w:pPr>
        <w:rPr>
          <w:b/>
          <w:sz w:val="28"/>
        </w:rPr>
      </w:pPr>
    </w:p>
    <w:p w:rsidR="00BF3126" w:rsidRPr="00650566" w:rsidRDefault="00BF3126" w:rsidP="00650566">
      <w:pPr>
        <w:tabs>
          <w:tab w:val="right" w:leader="dot" w:pos="7371"/>
          <w:tab w:val="right" w:leader="dot" w:pos="9637"/>
        </w:tabs>
        <w:ind w:left="142"/>
        <w:rPr>
          <w:sz w:val="24"/>
          <w:szCs w:val="24"/>
        </w:rPr>
      </w:pPr>
      <w:r w:rsidRPr="00650566">
        <w:rPr>
          <w:sz w:val="24"/>
          <w:szCs w:val="24"/>
        </w:rPr>
        <w:t xml:space="preserve"> Niniejsza szczegółowa specyfikacja techniczna stanowi wraz </w:t>
      </w:r>
      <w:r w:rsidR="00650566">
        <w:rPr>
          <w:sz w:val="24"/>
          <w:szCs w:val="24"/>
        </w:rPr>
        <w:br/>
      </w:r>
      <w:r w:rsidRPr="00650566">
        <w:rPr>
          <w:sz w:val="24"/>
          <w:szCs w:val="24"/>
        </w:rPr>
        <w:t xml:space="preserve">z dokumentacją projektową obowiązującą podstawę przy zlecaniu i realizacji robót związanych z  zadaniem : </w:t>
      </w:r>
    </w:p>
    <w:p w:rsidR="00BF3126" w:rsidRDefault="00BF3126" w:rsidP="00BF3126">
      <w:pPr>
        <w:tabs>
          <w:tab w:val="right" w:leader="dot" w:pos="7371"/>
          <w:tab w:val="right" w:leader="dot" w:pos="9637"/>
        </w:tabs>
        <w:ind w:left="142"/>
      </w:pPr>
    </w:p>
    <w:p w:rsidR="00650566" w:rsidRDefault="00650566" w:rsidP="00BF3126">
      <w:pPr>
        <w:tabs>
          <w:tab w:val="right" w:leader="dot" w:pos="7371"/>
          <w:tab w:val="right" w:leader="dot" w:pos="9637"/>
        </w:tabs>
        <w:ind w:left="142"/>
      </w:pPr>
    </w:p>
    <w:p w:rsidR="00650566" w:rsidRDefault="00650566" w:rsidP="00BF3126">
      <w:pPr>
        <w:tabs>
          <w:tab w:val="right" w:leader="dot" w:pos="7371"/>
          <w:tab w:val="right" w:leader="dot" w:pos="9637"/>
        </w:tabs>
        <w:ind w:left="142"/>
      </w:pPr>
    </w:p>
    <w:p w:rsidR="00650566" w:rsidRDefault="00650566" w:rsidP="00BF3126">
      <w:pPr>
        <w:tabs>
          <w:tab w:val="right" w:leader="dot" w:pos="7371"/>
          <w:tab w:val="right" w:leader="dot" w:pos="9637"/>
        </w:tabs>
        <w:ind w:left="142"/>
      </w:pPr>
    </w:p>
    <w:p w:rsidR="00650566" w:rsidRDefault="00650566" w:rsidP="00BF3126">
      <w:pPr>
        <w:tabs>
          <w:tab w:val="right" w:leader="dot" w:pos="7371"/>
          <w:tab w:val="right" w:leader="dot" w:pos="9637"/>
        </w:tabs>
        <w:ind w:left="142"/>
      </w:pPr>
    </w:p>
    <w:p w:rsidR="00650566" w:rsidRDefault="00650566" w:rsidP="00650566">
      <w:pPr>
        <w:pStyle w:val="Tekstpodstawowy"/>
        <w:rPr>
          <w:sz w:val="22"/>
          <w:szCs w:val="22"/>
        </w:rPr>
      </w:pPr>
      <w:r>
        <w:rPr>
          <w:sz w:val="22"/>
          <w:szCs w:val="22"/>
        </w:rPr>
        <w:t>MODERNIZACJA- PRZEBUDOWA DROGI DOJAZDOWEJ DO GRUNTÓW ROLNYCH OD KM 0+000 DO KM 0+240, dz. Nr 350 OBRĘB WALAWA</w:t>
      </w:r>
    </w:p>
    <w:p w:rsidR="00BF3126" w:rsidRDefault="00BF3126" w:rsidP="00BF3126">
      <w:pPr>
        <w:pStyle w:val="Tekstpodstawowy"/>
        <w:ind w:firstLine="120"/>
      </w:pPr>
      <w:r>
        <w:rPr>
          <w:b/>
          <w:bCs/>
          <w:szCs w:val="22"/>
        </w:rPr>
        <w:t xml:space="preserve"> </w:t>
      </w:r>
    </w:p>
    <w:p w:rsidR="00BF3126" w:rsidRDefault="00BF3126" w:rsidP="00BF3126">
      <w:pPr>
        <w:pStyle w:val="Tekstpodstawowywcity21"/>
        <w:ind w:left="1980" w:hanging="1800"/>
      </w:pPr>
      <w:r>
        <w:t xml:space="preserve"> </w:t>
      </w:r>
    </w:p>
    <w:p w:rsidR="00BF3126" w:rsidRDefault="00BF3126" w:rsidP="00BF3126">
      <w:pPr>
        <w:ind w:left="1980" w:hanging="1800"/>
        <w:rPr>
          <w:b/>
        </w:rPr>
      </w:pPr>
      <w:r>
        <w:t xml:space="preserve">INWESTOR : </w:t>
      </w:r>
      <w:r>
        <w:tab/>
        <w:t>GMINA ORŁY</w:t>
      </w:r>
    </w:p>
    <w:p w:rsidR="00BF3126" w:rsidRDefault="00BF3126" w:rsidP="00BF3126">
      <w:pPr>
        <w:ind w:left="1980" w:hanging="1800"/>
        <w:jc w:val="center"/>
        <w:rPr>
          <w:b/>
        </w:rPr>
      </w:pPr>
    </w:p>
    <w:p w:rsidR="00BF3126" w:rsidRDefault="00BF3126" w:rsidP="00BF3126">
      <w:pPr>
        <w:pageBreakBefore/>
        <w:rPr>
          <w:b/>
          <w:sz w:val="19"/>
        </w:rPr>
      </w:pPr>
    </w:p>
    <w:p w:rsidR="00BF3126" w:rsidRDefault="00BF3126" w:rsidP="00BF3126">
      <w:pPr>
        <w:rPr>
          <w:sz w:val="19"/>
        </w:rPr>
      </w:pPr>
    </w:p>
    <w:p w:rsidR="00BF3126" w:rsidRDefault="00BF3126" w:rsidP="00BF3126">
      <w:pPr>
        <w:pBdr>
          <w:bottom w:val="single" w:sz="4" w:space="1" w:color="000000"/>
        </w:pBdr>
        <w:rPr>
          <w:sz w:val="19"/>
        </w:rPr>
      </w:pPr>
    </w:p>
    <w:p w:rsidR="00BF3126" w:rsidRDefault="00BF3126" w:rsidP="00BF3126">
      <w:pPr>
        <w:spacing w:before="240"/>
        <w:jc w:val="center"/>
        <w:rPr>
          <w:caps/>
        </w:rPr>
      </w:pPr>
      <w:r>
        <w:rPr>
          <w:b/>
        </w:rPr>
        <w:t>SPIS TREŚCI</w:t>
      </w:r>
    </w:p>
    <w:p w:rsidR="00BF3126" w:rsidRDefault="00BF3126" w:rsidP="00BF3126">
      <w:pPr>
        <w:pStyle w:val="Spistreci1"/>
        <w:spacing w:before="0" w:after="0"/>
      </w:pPr>
      <w:r>
        <w:rPr>
          <w:b w:val="0"/>
        </w:rPr>
        <w:t xml:space="preserve">  </w:t>
      </w:r>
    </w:p>
    <w:p w:rsidR="00BF3126" w:rsidRDefault="00BF3126" w:rsidP="00BF3126">
      <w:pPr>
        <w:suppressAutoHyphens w:val="0"/>
        <w:overflowPunct/>
        <w:autoSpaceDE/>
        <w:jc w:val="left"/>
        <w:rPr>
          <w:b/>
          <w:caps/>
        </w:rPr>
        <w:sectPr w:rsidR="00BF3126">
          <w:pgSz w:w="11906" w:h="16838"/>
          <w:pgMar w:top="2835" w:right="2268" w:bottom="2835" w:left="2268" w:header="1985" w:footer="708" w:gutter="0"/>
          <w:cols w:space="708"/>
        </w:sectPr>
      </w:pPr>
    </w:p>
    <w:p w:rsidR="00BF3126" w:rsidRDefault="00BF3126" w:rsidP="00BF3126">
      <w:pPr>
        <w:pStyle w:val="Spistreci1"/>
      </w:pPr>
      <w:r>
        <w:fldChar w:fldCharType="begin"/>
      </w:r>
      <w:r>
        <w:instrText xml:space="preserve"> TOC </w:instrText>
      </w:r>
      <w:r>
        <w:fldChar w:fldCharType="separate"/>
      </w:r>
      <w:r>
        <w:t>1. WSTĘP</w:t>
      </w:r>
      <w:r>
        <w:tab/>
        <w:t>5</w:t>
      </w:r>
    </w:p>
    <w:p w:rsidR="00BF3126" w:rsidRDefault="00BF3126" w:rsidP="00BF3126">
      <w:pPr>
        <w:pStyle w:val="Spistreci2"/>
      </w:pPr>
      <w:r>
        <w:t>1.1.Przedmiot OST</w:t>
      </w:r>
      <w:r>
        <w:tab/>
        <w:t>5</w:t>
      </w:r>
    </w:p>
    <w:p w:rsidR="00BF3126" w:rsidRDefault="00BF3126" w:rsidP="00BF3126">
      <w:pPr>
        <w:pStyle w:val="Spistreci2"/>
      </w:pPr>
      <w:r>
        <w:t>1.2. Zakres stosowania OST</w:t>
      </w:r>
      <w:r>
        <w:tab/>
        <w:t>5</w:t>
      </w:r>
    </w:p>
    <w:p w:rsidR="00BF3126" w:rsidRDefault="00BF3126" w:rsidP="00BF3126">
      <w:pPr>
        <w:pStyle w:val="Spistreci2"/>
      </w:pPr>
      <w:r>
        <w:t>1.3. Zakres robót objętych OST</w:t>
      </w:r>
      <w:r>
        <w:tab/>
        <w:t>5</w:t>
      </w:r>
    </w:p>
    <w:p w:rsidR="00BF3126" w:rsidRDefault="00BF3126" w:rsidP="00BF3126">
      <w:pPr>
        <w:pStyle w:val="Spistreci2"/>
      </w:pPr>
      <w:r>
        <w:t>1.4. Określenia podstawowe</w:t>
      </w:r>
      <w:r>
        <w:tab/>
        <w:t>5</w:t>
      </w:r>
    </w:p>
    <w:p w:rsidR="00BF3126" w:rsidRDefault="00BF3126" w:rsidP="00BF3126">
      <w:pPr>
        <w:pStyle w:val="Spistreci2"/>
      </w:pPr>
      <w:r>
        <w:t>1.5. Ogólne wymagania dotyczące robót</w:t>
      </w:r>
      <w:r>
        <w:tab/>
        <w:t>5</w:t>
      </w:r>
    </w:p>
    <w:p w:rsidR="00BF3126" w:rsidRDefault="00BF3126" w:rsidP="00BF3126">
      <w:pPr>
        <w:pStyle w:val="Spistreci1"/>
      </w:pPr>
      <w:r>
        <w:t>2. materiały</w:t>
      </w:r>
      <w:r>
        <w:tab/>
        <w:t>5</w:t>
      </w:r>
    </w:p>
    <w:p w:rsidR="00BF3126" w:rsidRDefault="00BF3126" w:rsidP="00BF3126">
      <w:pPr>
        <w:pStyle w:val="Spistreci2"/>
      </w:pPr>
      <w:r>
        <w:t>2.1. Ogólne wymagania dotyczące materiałów</w:t>
      </w:r>
      <w:r>
        <w:tab/>
        <w:t>5</w:t>
      </w:r>
    </w:p>
    <w:p w:rsidR="00BF3126" w:rsidRDefault="00BF3126" w:rsidP="00BF3126">
      <w:pPr>
        <w:pStyle w:val="Spistreci2"/>
      </w:pPr>
      <w:r>
        <w:t>2.2. Rodzaje materiałów</w:t>
      </w:r>
      <w:r>
        <w:tab/>
        <w:t>6</w:t>
      </w:r>
    </w:p>
    <w:p w:rsidR="00BF3126" w:rsidRDefault="00BF3126" w:rsidP="00BF3126">
      <w:pPr>
        <w:pStyle w:val="Spistreci2"/>
      </w:pPr>
      <w:r>
        <w:t>2.3. Wymagania dla kruszyw</w:t>
      </w:r>
      <w:r>
        <w:tab/>
        <w:t>6</w:t>
      </w:r>
    </w:p>
    <w:p w:rsidR="00BF3126" w:rsidRDefault="00BF3126" w:rsidP="00BF3126">
      <w:pPr>
        <w:pStyle w:val="Spistreci2"/>
      </w:pPr>
      <w:r>
        <w:t>2.4. Woda</w:t>
      </w:r>
      <w:r>
        <w:tab/>
        <w:t>7</w:t>
      </w:r>
    </w:p>
    <w:p w:rsidR="00BF3126" w:rsidRDefault="00BF3126" w:rsidP="00BF3126">
      <w:pPr>
        <w:pStyle w:val="Spistreci1"/>
      </w:pPr>
      <w:r>
        <w:t>3. sprzęt</w:t>
      </w:r>
      <w:r>
        <w:tab/>
        <w:t>8</w:t>
      </w:r>
    </w:p>
    <w:p w:rsidR="00BF3126" w:rsidRDefault="00BF3126" w:rsidP="00BF3126">
      <w:pPr>
        <w:pStyle w:val="Spistreci2"/>
      </w:pPr>
      <w:r>
        <w:t>3.1. Ogólne wymagania dotyczące sprzętu</w:t>
      </w:r>
      <w:r>
        <w:tab/>
        <w:t>8</w:t>
      </w:r>
    </w:p>
    <w:p w:rsidR="00BF3126" w:rsidRDefault="00BF3126" w:rsidP="00BF3126">
      <w:pPr>
        <w:pStyle w:val="Spistreci2"/>
      </w:pPr>
      <w:r>
        <w:t>3.2. Sprzęt do wykonania robót</w:t>
      </w:r>
      <w:r>
        <w:tab/>
        <w:t>8</w:t>
      </w:r>
    </w:p>
    <w:p w:rsidR="00BF3126" w:rsidRDefault="00BF3126" w:rsidP="00BF3126">
      <w:pPr>
        <w:pStyle w:val="Spistreci1"/>
      </w:pPr>
      <w:r>
        <w:t>4. transport</w:t>
      </w:r>
      <w:r>
        <w:tab/>
        <w:t>8</w:t>
      </w:r>
    </w:p>
    <w:p w:rsidR="00BF3126" w:rsidRDefault="00BF3126" w:rsidP="00BF3126">
      <w:pPr>
        <w:pStyle w:val="Spistreci2"/>
      </w:pPr>
      <w:r>
        <w:t>4.1. Ogólne wymagania dotyczące transportu</w:t>
      </w:r>
      <w:r>
        <w:tab/>
        <w:t>8</w:t>
      </w:r>
    </w:p>
    <w:p w:rsidR="00BF3126" w:rsidRDefault="00BF3126" w:rsidP="00BF3126">
      <w:pPr>
        <w:pStyle w:val="Spistreci2"/>
      </w:pPr>
      <w:r>
        <w:t xml:space="preserve"> Ogólne wymagania dotyczące transportu podano w OST D-M-00.00.00 „Wymagania ogólne” pkt 4.</w:t>
      </w:r>
      <w:r>
        <w:tab/>
        <w:t>8</w:t>
      </w:r>
    </w:p>
    <w:p w:rsidR="00BF3126" w:rsidRDefault="00BF3126" w:rsidP="00BF3126">
      <w:pPr>
        <w:pStyle w:val="Spistreci2"/>
      </w:pPr>
      <w:r>
        <w:t>4.2. Transport kruszywa</w:t>
      </w:r>
      <w:r>
        <w:tab/>
        <w:t>8</w:t>
      </w:r>
    </w:p>
    <w:p w:rsidR="00BF3126" w:rsidRDefault="00BF3126" w:rsidP="00BF3126">
      <w:pPr>
        <w:pStyle w:val="Spistreci1"/>
      </w:pPr>
      <w:r>
        <w:t>5. wykonanie robót</w:t>
      </w:r>
      <w:r>
        <w:tab/>
        <w:t>8</w:t>
      </w:r>
    </w:p>
    <w:p w:rsidR="00BF3126" w:rsidRDefault="00BF3126" w:rsidP="00BF3126">
      <w:pPr>
        <w:pStyle w:val="Spistreci2"/>
      </w:pPr>
      <w:r>
        <w:t>5.1. Ogólne zasady wykonania robót</w:t>
      </w:r>
      <w:r>
        <w:tab/>
        <w:t>8</w:t>
      </w:r>
    </w:p>
    <w:p w:rsidR="00BF3126" w:rsidRDefault="00BF3126" w:rsidP="00BF3126">
      <w:pPr>
        <w:pStyle w:val="Spistreci2"/>
      </w:pPr>
      <w:r>
        <w:t>5.2. Przygotowanie podłoża</w:t>
      </w:r>
      <w:r>
        <w:tab/>
        <w:t>8</w:t>
      </w:r>
    </w:p>
    <w:p w:rsidR="00BF3126" w:rsidRDefault="00BF3126" w:rsidP="00BF3126">
      <w:pPr>
        <w:pStyle w:val="Spistreci2"/>
      </w:pPr>
      <w:r>
        <w:t>5.3. Wbudowywanie i zagęszczanie kruszywa</w:t>
      </w:r>
      <w:r>
        <w:tab/>
        <w:t>9</w:t>
      </w:r>
    </w:p>
    <w:p w:rsidR="00BF3126" w:rsidRDefault="00BF3126" w:rsidP="00BF3126">
      <w:pPr>
        <w:pStyle w:val="Spistreci2"/>
      </w:pPr>
      <w:r>
        <w:t>5.4. Odcinek próbny</w:t>
      </w:r>
      <w:r>
        <w:tab/>
        <w:t>10</w:t>
      </w:r>
    </w:p>
    <w:p w:rsidR="00BF3126" w:rsidRDefault="00BF3126" w:rsidP="00BF3126">
      <w:pPr>
        <w:pStyle w:val="Spistreci2"/>
      </w:pPr>
      <w:r>
        <w:t>5.5. Utrzymanie podbudowy</w:t>
      </w:r>
      <w:r>
        <w:tab/>
        <w:t>10</w:t>
      </w:r>
    </w:p>
    <w:p w:rsidR="00BF3126" w:rsidRDefault="00BF3126" w:rsidP="00BF3126">
      <w:pPr>
        <w:pStyle w:val="Spistreci1"/>
      </w:pPr>
      <w:r>
        <w:t>6. kontrola jakości robót</w:t>
      </w:r>
      <w:r>
        <w:tab/>
        <w:t>11</w:t>
      </w:r>
    </w:p>
    <w:p w:rsidR="00BF3126" w:rsidRDefault="00BF3126" w:rsidP="00BF3126">
      <w:pPr>
        <w:pStyle w:val="Spistreci2"/>
      </w:pPr>
      <w:r>
        <w:t>6.1. Ogólne zasady kontroli jakości robót</w:t>
      </w:r>
      <w:r>
        <w:tab/>
        <w:t>11</w:t>
      </w:r>
    </w:p>
    <w:p w:rsidR="00BF3126" w:rsidRDefault="00BF3126" w:rsidP="00BF3126">
      <w:pPr>
        <w:pStyle w:val="Spistreci2"/>
      </w:pPr>
      <w:r>
        <w:t>6.2. Badania przed przystąpieniem do robót</w:t>
      </w:r>
      <w:r>
        <w:tab/>
        <w:t>11</w:t>
      </w:r>
    </w:p>
    <w:p w:rsidR="00BF3126" w:rsidRDefault="00BF3126" w:rsidP="00BF3126">
      <w:pPr>
        <w:pStyle w:val="Spistreci2"/>
      </w:pPr>
      <w:r>
        <w:t>6.3. Badania w czasie robót</w:t>
      </w:r>
      <w:r>
        <w:tab/>
        <w:t>11</w:t>
      </w:r>
    </w:p>
    <w:p w:rsidR="00BF3126" w:rsidRDefault="00BF3126" w:rsidP="00BF3126">
      <w:pPr>
        <w:pStyle w:val="Spistreci2"/>
      </w:pPr>
      <w:r>
        <w:t>6.4. Wymagania dotyczące nośności i cech geometrycznych podbudowy</w:t>
      </w:r>
      <w:r>
        <w:tab/>
        <w:t>12</w:t>
      </w:r>
    </w:p>
    <w:p w:rsidR="00BF3126" w:rsidRDefault="00BF3126" w:rsidP="00BF3126">
      <w:pPr>
        <w:pStyle w:val="Spistreci2"/>
      </w:pPr>
      <w:r>
        <w:t>6.5. Zasady postępowania z wadliwie wykonanymi odcinkami podbudowy</w:t>
      </w:r>
      <w:r>
        <w:tab/>
        <w:t>14</w:t>
      </w:r>
    </w:p>
    <w:p w:rsidR="00BF3126" w:rsidRDefault="00BF3126" w:rsidP="00BF3126">
      <w:pPr>
        <w:pStyle w:val="Spistreci2"/>
      </w:pPr>
      <w:r>
        <w:t>6.5.1. Niewłaściwe cechy geometryczne podbudowy</w:t>
      </w:r>
      <w:r>
        <w:tab/>
        <w:t>14</w:t>
      </w:r>
    </w:p>
    <w:p w:rsidR="00BF3126" w:rsidRDefault="00BF3126" w:rsidP="00BF3126">
      <w:pPr>
        <w:pStyle w:val="Spistreci1"/>
      </w:pPr>
      <w:r>
        <w:t>7. OBMIAR ROBÓT</w:t>
      </w:r>
      <w:r>
        <w:tab/>
        <w:t>14</w:t>
      </w:r>
    </w:p>
    <w:p w:rsidR="00BF3126" w:rsidRDefault="00BF3126" w:rsidP="00BF3126">
      <w:pPr>
        <w:pStyle w:val="Spistreci2"/>
      </w:pPr>
      <w:r>
        <w:t>7.1. Ogólne zasady obmiaru robót</w:t>
      </w:r>
      <w:r>
        <w:tab/>
        <w:t>14</w:t>
      </w:r>
    </w:p>
    <w:p w:rsidR="00BF3126" w:rsidRDefault="00BF3126" w:rsidP="00BF3126">
      <w:pPr>
        <w:pStyle w:val="Spistreci2"/>
      </w:pPr>
      <w:r>
        <w:t>7.2. Jednostka obmiarowa</w:t>
      </w:r>
      <w:r>
        <w:tab/>
        <w:t>14</w:t>
      </w:r>
    </w:p>
    <w:p w:rsidR="00BF3126" w:rsidRDefault="00BF3126" w:rsidP="00BF3126">
      <w:pPr>
        <w:pStyle w:val="Spistreci1"/>
      </w:pPr>
      <w:r>
        <w:lastRenderedPageBreak/>
        <w:t>8. ODBIÓR ROBÓT</w:t>
      </w:r>
      <w:r>
        <w:tab/>
        <w:t>15</w:t>
      </w:r>
    </w:p>
    <w:p w:rsidR="00BF3126" w:rsidRDefault="00BF3126" w:rsidP="00BF3126">
      <w:pPr>
        <w:pStyle w:val="Spistreci1"/>
      </w:pPr>
      <w:r>
        <w:t>9. PODSTAWA PŁATNOŚCI</w:t>
      </w:r>
      <w:r>
        <w:tab/>
        <w:t>15</w:t>
      </w:r>
    </w:p>
    <w:p w:rsidR="00BF3126" w:rsidRDefault="00BF3126" w:rsidP="00BF3126">
      <w:pPr>
        <w:pStyle w:val="Spistreci2"/>
      </w:pPr>
      <w:r>
        <w:t>9.1. Ogólne ustalenia dotyczące podstawy płatności</w:t>
      </w:r>
      <w:r>
        <w:tab/>
        <w:t>15</w:t>
      </w:r>
    </w:p>
    <w:p w:rsidR="00BF3126" w:rsidRDefault="00BF3126" w:rsidP="00BF3126">
      <w:pPr>
        <w:pStyle w:val="Spistreci2"/>
      </w:pPr>
      <w:r>
        <w:t>9.2. Cena jednostki obmiarowej</w:t>
      </w:r>
      <w:r>
        <w:tab/>
        <w:t>15</w:t>
      </w:r>
    </w:p>
    <w:p w:rsidR="00BF3126" w:rsidRDefault="00BF3126" w:rsidP="00BF3126">
      <w:pPr>
        <w:pStyle w:val="Spistreci1"/>
      </w:pPr>
      <w:r>
        <w:t>10. przepisy związane</w:t>
      </w:r>
      <w:r>
        <w:tab/>
        <w:t>15</w:t>
      </w:r>
    </w:p>
    <w:p w:rsidR="00BF3126" w:rsidRDefault="00BF3126" w:rsidP="00BF3126">
      <w:pPr>
        <w:pStyle w:val="Spistreci2"/>
      </w:pPr>
      <w:r>
        <w:t>10.1. Normy</w:t>
      </w:r>
      <w:r>
        <w:tab/>
        <w:t>15</w:t>
      </w:r>
    </w:p>
    <w:p w:rsidR="00BF3126" w:rsidRDefault="00BF3126" w:rsidP="00BF3126">
      <w:pPr>
        <w:pStyle w:val="Spistreci2"/>
        <w:rPr>
          <w:b/>
        </w:rPr>
      </w:pPr>
      <w:r>
        <w:t>10.2. Inne dokumenty</w:t>
      </w:r>
      <w:r>
        <w:tab/>
        <w:t>16</w:t>
      </w:r>
      <w:r>
        <w:fldChar w:fldCharType="end"/>
      </w:r>
    </w:p>
    <w:p w:rsidR="00BF3126" w:rsidRDefault="00BF3126" w:rsidP="00BF3126">
      <w:pPr>
        <w:suppressAutoHyphens w:val="0"/>
        <w:overflowPunct/>
        <w:autoSpaceDE/>
        <w:jc w:val="left"/>
        <w:rPr>
          <w:b/>
        </w:rPr>
        <w:sectPr w:rsidR="00BF3126">
          <w:type w:val="continuous"/>
          <w:pgSz w:w="11906" w:h="16838"/>
          <w:pgMar w:top="2835" w:right="2268" w:bottom="2835" w:left="2268" w:header="1985" w:footer="708" w:gutter="0"/>
          <w:cols w:space="708"/>
        </w:sectPr>
      </w:pPr>
    </w:p>
    <w:p w:rsidR="00BF3126" w:rsidRDefault="00BF3126" w:rsidP="00BF3126">
      <w:pPr>
        <w:tabs>
          <w:tab w:val="left" w:pos="284"/>
          <w:tab w:val="right" w:leader="dot" w:pos="8789"/>
        </w:tabs>
        <w:ind w:left="90"/>
        <w:jc w:val="center"/>
        <w:rPr>
          <w:b/>
        </w:rPr>
      </w:pPr>
    </w:p>
    <w:p w:rsidR="00BF3126" w:rsidRDefault="00BF3126" w:rsidP="00BF3126">
      <w:pPr>
        <w:pBdr>
          <w:top w:val="single" w:sz="4" w:space="1" w:color="000000"/>
        </w:pBdr>
        <w:tabs>
          <w:tab w:val="left" w:pos="284"/>
          <w:tab w:val="right" w:leader="dot" w:pos="8789"/>
        </w:tabs>
        <w:jc w:val="center"/>
        <w:rPr>
          <w:b/>
        </w:rPr>
      </w:pPr>
    </w:p>
    <w:p w:rsidR="00BF3126" w:rsidRDefault="00BF3126" w:rsidP="00BF3126">
      <w:pPr>
        <w:pBdr>
          <w:top w:val="single" w:sz="4" w:space="1" w:color="000000"/>
        </w:pBdr>
        <w:tabs>
          <w:tab w:val="left" w:pos="284"/>
          <w:tab w:val="right" w:leader="dot" w:pos="8789"/>
        </w:tabs>
        <w:jc w:val="center"/>
        <w:rPr>
          <w:b/>
        </w:rPr>
      </w:pPr>
    </w:p>
    <w:p w:rsidR="00BF3126" w:rsidRDefault="00BF3126" w:rsidP="00BF3126">
      <w:pPr>
        <w:pBdr>
          <w:top w:val="single" w:sz="4" w:space="1" w:color="000000"/>
        </w:pBdr>
        <w:tabs>
          <w:tab w:val="left" w:pos="284"/>
          <w:tab w:val="right" w:leader="dot" w:pos="8789"/>
        </w:tabs>
        <w:spacing w:before="120" w:after="120"/>
        <w:jc w:val="center"/>
      </w:pPr>
      <w:r>
        <w:rPr>
          <w:b/>
        </w:rPr>
        <w:t>NAJWAŻNIEJSZE OZNACZENIA I SKRÓTY</w:t>
      </w:r>
    </w:p>
    <w:tbl>
      <w:tblPr>
        <w:tblW w:w="0" w:type="auto"/>
        <w:tblInd w:w="1690" w:type="dxa"/>
        <w:tblLayout w:type="fixed"/>
        <w:tblCellMar>
          <w:left w:w="70" w:type="dxa"/>
          <w:right w:w="70" w:type="dxa"/>
        </w:tblCellMar>
        <w:tblLook w:val="04A0" w:firstRow="1" w:lastRow="0" w:firstColumn="1" w:lastColumn="0" w:noHBand="0" w:noVBand="1"/>
      </w:tblPr>
      <w:tblGrid>
        <w:gridCol w:w="810"/>
        <w:gridCol w:w="3420"/>
      </w:tblGrid>
      <w:tr w:rsidR="00BF3126" w:rsidTr="00BF3126">
        <w:tc>
          <w:tcPr>
            <w:tcW w:w="810" w:type="dxa"/>
            <w:hideMark/>
          </w:tcPr>
          <w:p w:rsidR="00BF3126" w:rsidRDefault="00BF3126">
            <w:pPr>
              <w:tabs>
                <w:tab w:val="right" w:leader="dot" w:pos="-1985"/>
                <w:tab w:val="left" w:pos="284"/>
              </w:tabs>
              <w:snapToGrid w:val="0"/>
              <w:jc w:val="left"/>
            </w:pPr>
            <w:r>
              <w:t>OST</w:t>
            </w:r>
          </w:p>
        </w:tc>
        <w:tc>
          <w:tcPr>
            <w:tcW w:w="3420" w:type="dxa"/>
            <w:hideMark/>
          </w:tcPr>
          <w:p w:rsidR="00BF3126" w:rsidRDefault="00BF3126">
            <w:pPr>
              <w:tabs>
                <w:tab w:val="right" w:leader="dot" w:pos="-1985"/>
                <w:tab w:val="left" w:pos="284"/>
              </w:tabs>
              <w:snapToGrid w:val="0"/>
            </w:pPr>
            <w:r>
              <w:t>- ogólna specyfikacja techniczna</w:t>
            </w:r>
          </w:p>
        </w:tc>
      </w:tr>
      <w:tr w:rsidR="00BF3126" w:rsidTr="00BF3126">
        <w:tc>
          <w:tcPr>
            <w:tcW w:w="810" w:type="dxa"/>
            <w:hideMark/>
          </w:tcPr>
          <w:p w:rsidR="00BF3126" w:rsidRDefault="00BF3126">
            <w:pPr>
              <w:tabs>
                <w:tab w:val="right" w:leader="dot" w:pos="-1985"/>
                <w:tab w:val="left" w:pos="284"/>
              </w:tabs>
              <w:snapToGrid w:val="0"/>
              <w:jc w:val="left"/>
            </w:pPr>
            <w:r>
              <w:t>SST</w:t>
            </w:r>
          </w:p>
        </w:tc>
        <w:tc>
          <w:tcPr>
            <w:tcW w:w="3420" w:type="dxa"/>
            <w:hideMark/>
          </w:tcPr>
          <w:p w:rsidR="00BF3126" w:rsidRDefault="00BF3126">
            <w:pPr>
              <w:tabs>
                <w:tab w:val="right" w:leader="dot" w:pos="-1985"/>
                <w:tab w:val="left" w:pos="284"/>
              </w:tabs>
              <w:snapToGrid w:val="0"/>
            </w:pPr>
            <w:r>
              <w:t>- szczegółowa specyfikacja techniczna</w:t>
            </w:r>
          </w:p>
        </w:tc>
      </w:tr>
    </w:tbl>
    <w:p w:rsidR="00BF3126" w:rsidRDefault="00BF3126" w:rsidP="00BF3126">
      <w:pPr>
        <w:suppressAutoHyphens w:val="0"/>
        <w:overflowPunct/>
        <w:autoSpaceDE/>
        <w:jc w:val="left"/>
        <w:sectPr w:rsidR="00BF3126">
          <w:type w:val="continuous"/>
          <w:pgSz w:w="11906" w:h="16838"/>
          <w:pgMar w:top="2835" w:right="2268" w:bottom="2835" w:left="2268" w:header="1985" w:footer="708" w:gutter="0"/>
          <w:cols w:space="708"/>
        </w:sectPr>
      </w:pPr>
    </w:p>
    <w:p w:rsidR="00BF3126" w:rsidRDefault="00BF3126" w:rsidP="00BF3126">
      <w:pPr>
        <w:suppressAutoHyphens w:val="0"/>
        <w:overflowPunct/>
        <w:autoSpaceDE/>
        <w:jc w:val="left"/>
        <w:sectPr w:rsidR="00BF3126">
          <w:type w:val="continuous"/>
          <w:pgSz w:w="11906" w:h="16838"/>
          <w:pgMar w:top="2835" w:right="2268" w:bottom="2835" w:left="2268" w:header="1985" w:footer="708" w:gutter="0"/>
          <w:cols w:space="708"/>
        </w:sectPr>
      </w:pPr>
    </w:p>
    <w:p w:rsidR="00BF3126" w:rsidRDefault="00BF3126" w:rsidP="00BF3126">
      <w:pPr>
        <w:pStyle w:val="Nagwek1"/>
        <w:numPr>
          <w:ilvl w:val="0"/>
          <w:numId w:val="1"/>
        </w:numPr>
        <w:tabs>
          <w:tab w:val="left" w:pos="0"/>
        </w:tabs>
        <w:rPr>
          <w:lang w:val="en-US"/>
        </w:rPr>
      </w:pPr>
      <w:r>
        <w:lastRenderedPageBreak/>
        <w:t>1. WSTĘP</w:t>
      </w:r>
    </w:p>
    <w:p w:rsidR="00BF3126" w:rsidRDefault="00BF3126" w:rsidP="00BF3126">
      <w:pPr>
        <w:pStyle w:val="Nagwek2"/>
        <w:numPr>
          <w:ilvl w:val="1"/>
          <w:numId w:val="1"/>
        </w:numPr>
        <w:tabs>
          <w:tab w:val="left" w:pos="0"/>
        </w:tabs>
      </w:pPr>
      <w:r>
        <w:rPr>
          <w:lang w:val="en-US"/>
        </w:rPr>
        <w:t>1.1.</w:t>
      </w:r>
      <w:r>
        <w:t>Przedmiot OST</w:t>
      </w:r>
    </w:p>
    <w:p w:rsidR="00BF3126" w:rsidRDefault="00BF3126" w:rsidP="00BF3126">
      <w:pPr>
        <w:tabs>
          <w:tab w:val="left" w:pos="0"/>
        </w:tabs>
        <w:rPr>
          <w:b/>
        </w:rPr>
      </w:pPr>
      <w:r>
        <w:rPr>
          <w:b/>
        </w:rPr>
        <w:tab/>
      </w:r>
      <w:r>
        <w:t>Przedmiotem niniejszej ogólnej specyfikacji technicznej (OST) są wymagania dotyczące wykonania i odbioru robót związanych z wykonaniem podbudów z tłucznia kamiennego.</w:t>
      </w:r>
    </w:p>
    <w:p w:rsidR="00BF3126" w:rsidRDefault="00BF3126" w:rsidP="00BF3126">
      <w:pPr>
        <w:pStyle w:val="Nagwek2"/>
        <w:numPr>
          <w:ilvl w:val="1"/>
          <w:numId w:val="1"/>
        </w:numPr>
        <w:tabs>
          <w:tab w:val="left" w:pos="0"/>
        </w:tabs>
      </w:pPr>
      <w:r>
        <w:t>1.2. Zakres stosowania OST</w:t>
      </w:r>
    </w:p>
    <w:p w:rsidR="00BF3126" w:rsidRDefault="00BF3126" w:rsidP="00BF3126">
      <w:pPr>
        <w:tabs>
          <w:tab w:val="left" w:pos="0"/>
        </w:tabs>
      </w:pPr>
      <w:r>
        <w:tab/>
        <w:t>Ogólna specyfikacja techniczna (OST) stanowi obowiązującą podstawę opracowania szczegółowej specyfikacji technicznej (SST) stosowanej jako dokument przetargowy i kontraktowy przy zlecaniu i realizacji robót na drogach krajowych i wojewódzkich.</w:t>
      </w:r>
    </w:p>
    <w:p w:rsidR="00BF3126" w:rsidRDefault="00BF3126" w:rsidP="00BF3126">
      <w:pPr>
        <w:tabs>
          <w:tab w:val="left" w:pos="0"/>
        </w:tabs>
        <w:rPr>
          <w:b/>
        </w:rPr>
      </w:pPr>
      <w:r>
        <w:tab/>
        <w:t>Zaleca się wykorzystanie OST przy zlecaniu robót na drogach miejskich i gminnych.</w:t>
      </w:r>
    </w:p>
    <w:p w:rsidR="00BF3126" w:rsidRDefault="00BF3126" w:rsidP="00BF3126">
      <w:pPr>
        <w:pStyle w:val="Nagwek2"/>
        <w:numPr>
          <w:ilvl w:val="1"/>
          <w:numId w:val="1"/>
        </w:numPr>
        <w:tabs>
          <w:tab w:val="left" w:pos="0"/>
        </w:tabs>
      </w:pPr>
      <w:r>
        <w:t>1.3. Zakres robót objętych OST</w:t>
      </w:r>
    </w:p>
    <w:p w:rsidR="00BF3126" w:rsidRDefault="00BF3126" w:rsidP="00BF3126">
      <w:r>
        <w:rPr>
          <w:b/>
        </w:rPr>
        <w:tab/>
      </w:r>
      <w:r>
        <w:t>Ustalenia zawarte w niniejszej specyfikacji dotyczą zasad prowadzenia robót związanych z wykonywaniem podbudów z tłucznia kamiennego.</w:t>
      </w:r>
    </w:p>
    <w:p w:rsidR="00BF3126" w:rsidRDefault="00BF3126" w:rsidP="00BF3126">
      <w:r>
        <w:tab/>
        <w:t>Podbudowę z tłucznia kamiennego wykonuje się, zgodnie z ustaleniami podanymi w dokumentacji projektowej, jako:</w:t>
      </w:r>
    </w:p>
    <w:p w:rsidR="00BF3126" w:rsidRDefault="00BF3126" w:rsidP="00BF3126">
      <w:r>
        <w:tab/>
        <w:t>- podbudowę pomocniczą,</w:t>
      </w:r>
    </w:p>
    <w:p w:rsidR="00BF3126" w:rsidRDefault="00BF3126" w:rsidP="00BF3126">
      <w:pPr>
        <w:rPr>
          <w:b/>
        </w:rPr>
      </w:pPr>
      <w:r>
        <w:tab/>
        <w:t>- podbudowę zasadniczą.</w:t>
      </w:r>
    </w:p>
    <w:p w:rsidR="00BF3126" w:rsidRDefault="00BF3126" w:rsidP="00BF3126">
      <w:pPr>
        <w:pStyle w:val="Nagwek2"/>
        <w:numPr>
          <w:ilvl w:val="1"/>
          <w:numId w:val="1"/>
        </w:numPr>
        <w:tabs>
          <w:tab w:val="left" w:pos="0"/>
        </w:tabs>
      </w:pPr>
      <w:r>
        <w:t>1.4. Określenia podstawowe</w:t>
      </w:r>
    </w:p>
    <w:p w:rsidR="00BF3126" w:rsidRDefault="00BF3126" w:rsidP="00BF3126">
      <w:pPr>
        <w:rPr>
          <w:b/>
        </w:rPr>
      </w:pPr>
      <w:r>
        <w:rPr>
          <w:b/>
        </w:rPr>
        <w:t xml:space="preserve">1.4.1. </w:t>
      </w:r>
      <w:r>
        <w:t>Podbudowa z tłucznia kamiennego - część konstrukcji nawierzchni składająca się z jednej lub więcej warstw nośnych z tłucznia i klińca kamiennego.</w:t>
      </w:r>
    </w:p>
    <w:p w:rsidR="00BF3126" w:rsidRDefault="00BF3126" w:rsidP="00BF3126">
      <w:pPr>
        <w:spacing w:before="120"/>
        <w:rPr>
          <w:b/>
        </w:rPr>
      </w:pPr>
      <w:r>
        <w:rPr>
          <w:b/>
        </w:rPr>
        <w:t xml:space="preserve">1.4.2. </w:t>
      </w:r>
      <w:r>
        <w:t xml:space="preserve">Pozostałe określenia są zgodne z obowiązującymi, odpowiednimi polskimi normami i z definicjami podanymi w OST D-M-00.00.00 „Wymagania ogólne” pkt 1.4. </w:t>
      </w:r>
    </w:p>
    <w:p w:rsidR="00BF3126" w:rsidRDefault="00BF3126" w:rsidP="00BF3126">
      <w:pPr>
        <w:pStyle w:val="Nagwek2"/>
        <w:numPr>
          <w:ilvl w:val="1"/>
          <w:numId w:val="1"/>
        </w:numPr>
        <w:tabs>
          <w:tab w:val="left" w:pos="0"/>
        </w:tabs>
      </w:pPr>
      <w:r>
        <w:t>1.5. Ogólne wymagania dotyczące robót</w:t>
      </w:r>
    </w:p>
    <w:p w:rsidR="00BF3126" w:rsidRDefault="00BF3126" w:rsidP="00BF3126">
      <w:pPr>
        <w:rPr>
          <w:b/>
          <w:caps/>
          <w:kern w:val="2"/>
        </w:rPr>
      </w:pPr>
      <w:r>
        <w:tab/>
        <w:t>Ogólne wymagania dotyczące robót podano w OST D-M-00.00.00 „Wymagania ogólne” pkt 1.5.</w:t>
      </w:r>
    </w:p>
    <w:p w:rsidR="00BF3126" w:rsidRDefault="00BF3126" w:rsidP="00BF3126">
      <w:pPr>
        <w:pStyle w:val="Nagwek1"/>
        <w:numPr>
          <w:ilvl w:val="0"/>
          <w:numId w:val="1"/>
        </w:numPr>
        <w:tabs>
          <w:tab w:val="left" w:pos="0"/>
        </w:tabs>
      </w:pPr>
      <w:r>
        <w:t>2. materiały</w:t>
      </w:r>
    </w:p>
    <w:p w:rsidR="00BF3126" w:rsidRDefault="00BF3126" w:rsidP="00BF3126">
      <w:pPr>
        <w:pStyle w:val="Nagwek2"/>
        <w:numPr>
          <w:ilvl w:val="1"/>
          <w:numId w:val="1"/>
        </w:numPr>
        <w:tabs>
          <w:tab w:val="left" w:pos="0"/>
        </w:tabs>
      </w:pPr>
      <w:r>
        <w:t>2.1. Ogólne wymagania dotyczące materiałów</w:t>
      </w:r>
    </w:p>
    <w:p w:rsidR="00BF3126" w:rsidRDefault="00BF3126" w:rsidP="00BF3126">
      <w:pPr>
        <w:rPr>
          <w:b/>
        </w:rPr>
      </w:pPr>
      <w:r>
        <w:tab/>
        <w:t>Ogólne wymagania dotyczące materiałów, ich pozyskiwania i składowania podano w OST D-M-00.00.00 „Wymagania ogólne” pkt 2.</w:t>
      </w:r>
    </w:p>
    <w:p w:rsidR="00BF3126" w:rsidRDefault="00BF3126" w:rsidP="00BF3126">
      <w:pPr>
        <w:pStyle w:val="Nagwek2"/>
        <w:numPr>
          <w:ilvl w:val="1"/>
          <w:numId w:val="1"/>
        </w:numPr>
        <w:tabs>
          <w:tab w:val="left" w:pos="0"/>
        </w:tabs>
      </w:pPr>
      <w:r>
        <w:t>2.2. Rodzaje materiałów</w:t>
      </w:r>
    </w:p>
    <w:p w:rsidR="00BF3126" w:rsidRDefault="00BF3126" w:rsidP="00BF3126">
      <w:r>
        <w:tab/>
        <w:t>Materiałami stosowanymi przy wykonywaniu podbudowy z tłucznia, wg PN-S-96023 [9], są:</w:t>
      </w:r>
    </w:p>
    <w:p w:rsidR="00BF3126" w:rsidRDefault="00BF3126" w:rsidP="00BF3126">
      <w:pPr>
        <w:numPr>
          <w:ilvl w:val="0"/>
          <w:numId w:val="2"/>
        </w:numPr>
        <w:tabs>
          <w:tab w:val="left" w:pos="283"/>
        </w:tabs>
      </w:pPr>
      <w:r>
        <w:t>kruszywo łamane zwykłe: tłuczeń i kliniec, wg PN-B-11112 [8],</w:t>
      </w:r>
    </w:p>
    <w:p w:rsidR="00BF3126" w:rsidRDefault="00BF3126" w:rsidP="00BF3126">
      <w:pPr>
        <w:numPr>
          <w:ilvl w:val="0"/>
          <w:numId w:val="2"/>
        </w:numPr>
        <w:tabs>
          <w:tab w:val="left" w:pos="283"/>
        </w:tabs>
      </w:pPr>
      <w:r>
        <w:t>woda do skropienia podczas wałowania i klinowania.</w:t>
      </w:r>
    </w:p>
    <w:p w:rsidR="00BF3126" w:rsidRDefault="00BF3126" w:rsidP="00BF3126">
      <w:pPr>
        <w:pStyle w:val="Nagwek2"/>
        <w:numPr>
          <w:ilvl w:val="1"/>
          <w:numId w:val="1"/>
        </w:numPr>
        <w:tabs>
          <w:tab w:val="left" w:pos="0"/>
        </w:tabs>
      </w:pPr>
      <w:r>
        <w:t>2.3. Wymagania dla kruszyw</w:t>
      </w:r>
    </w:p>
    <w:p w:rsidR="00BF3126" w:rsidRDefault="00BF3126" w:rsidP="00BF3126">
      <w:r>
        <w:tab/>
        <w:t>Do wykonania podbudowy należy użyć następujące rodzaje kruszywa, według PN-B-11112 [8]:</w:t>
      </w:r>
    </w:p>
    <w:p w:rsidR="00BF3126" w:rsidRDefault="00BF3126" w:rsidP="00BF3126">
      <w:pPr>
        <w:numPr>
          <w:ilvl w:val="0"/>
          <w:numId w:val="2"/>
        </w:numPr>
        <w:tabs>
          <w:tab w:val="left" w:pos="283"/>
        </w:tabs>
      </w:pPr>
      <w:r>
        <w:t>tłuczeń od 31,5 mm do 63 mm,</w:t>
      </w:r>
    </w:p>
    <w:p w:rsidR="00BF3126" w:rsidRDefault="00BF3126" w:rsidP="00BF3126">
      <w:pPr>
        <w:numPr>
          <w:ilvl w:val="0"/>
          <w:numId w:val="2"/>
        </w:numPr>
        <w:tabs>
          <w:tab w:val="left" w:pos="283"/>
        </w:tabs>
      </w:pPr>
      <w:r>
        <w:t>kliniec od 20 mm do 31,5 mm,</w:t>
      </w:r>
    </w:p>
    <w:p w:rsidR="00BF3126" w:rsidRDefault="00BF3126" w:rsidP="00BF3126">
      <w:pPr>
        <w:numPr>
          <w:ilvl w:val="0"/>
          <w:numId w:val="2"/>
        </w:numPr>
        <w:tabs>
          <w:tab w:val="left" w:pos="283"/>
        </w:tabs>
      </w:pPr>
      <w:r>
        <w:t>kruszywo do klinowania - kliniec od 4 mm do 20 mm.</w:t>
      </w:r>
    </w:p>
    <w:p w:rsidR="00BF3126" w:rsidRDefault="00BF3126" w:rsidP="00BF3126">
      <w:r>
        <w:tab/>
        <w:t>Inżynier może dopuścić do wykonania podbudowy inne rodzaje kruszywa, wybrane spośród wymienionych w PN-S-96023 [9], dla których wymagania zostaną określone w SST.</w:t>
      </w:r>
    </w:p>
    <w:p w:rsidR="00BF3126" w:rsidRDefault="00BF3126" w:rsidP="00BF3126">
      <w:r>
        <w:tab/>
        <w:t>Jakość kruszywa powinna być zgodna z wymaganiami normy PN-B-11112 [8], określonymi dla:</w:t>
      </w:r>
    </w:p>
    <w:p w:rsidR="00BF3126" w:rsidRDefault="00BF3126" w:rsidP="00BF3126">
      <w:pPr>
        <w:numPr>
          <w:ilvl w:val="0"/>
          <w:numId w:val="2"/>
        </w:numPr>
        <w:tabs>
          <w:tab w:val="left" w:pos="283"/>
        </w:tabs>
      </w:pPr>
      <w:r>
        <w:t>klasy co najmniej II     - dla podbudowy zasadniczej,</w:t>
      </w:r>
    </w:p>
    <w:p w:rsidR="00BF3126" w:rsidRDefault="00BF3126" w:rsidP="00BF3126">
      <w:pPr>
        <w:numPr>
          <w:ilvl w:val="0"/>
          <w:numId w:val="2"/>
        </w:numPr>
        <w:tabs>
          <w:tab w:val="left" w:pos="283"/>
        </w:tabs>
      </w:pPr>
      <w:r>
        <w:t>klasy II i III</w:t>
      </w:r>
      <w:r>
        <w:tab/>
      </w:r>
      <w:r>
        <w:tab/>
        <w:t>- dla podbudowy pomocniczej.</w:t>
      </w:r>
    </w:p>
    <w:p w:rsidR="00BF3126" w:rsidRDefault="00BF3126" w:rsidP="00BF3126">
      <w:r>
        <w:tab/>
        <w:t>Do jednowarstwowych podbudów lub podbudowy zasadniczej należy stosować kruszywo gatunku co najmniej 2.</w:t>
      </w:r>
    </w:p>
    <w:p w:rsidR="00BF3126" w:rsidRDefault="00BF3126" w:rsidP="00BF3126">
      <w:r>
        <w:tab/>
        <w:t>Wymagania dla kruszywa przedstawiono w tablicach 1 i 2 niniejszej specyfikacji</w:t>
      </w:r>
    </w:p>
    <w:p w:rsidR="00BF3126" w:rsidRDefault="00BF3126" w:rsidP="00BF3126">
      <w:pPr>
        <w:spacing w:before="240" w:after="120"/>
      </w:pPr>
      <w:r>
        <w:t>Tablica 1. Wymagania dla tłucznia i klińca, wg PN-B-11112 [8]</w:t>
      </w: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496"/>
        <w:gridCol w:w="5103"/>
        <w:gridCol w:w="955"/>
        <w:gridCol w:w="980"/>
      </w:tblGrid>
      <w:tr w:rsidR="00BF3126" w:rsidTr="00EB2747">
        <w:tc>
          <w:tcPr>
            <w:tcW w:w="496" w:type="dxa"/>
            <w:tcBorders>
              <w:top w:val="single" w:sz="4" w:space="0" w:color="000000"/>
              <w:left w:val="single" w:sz="4" w:space="0" w:color="000000"/>
              <w:bottom w:val="double" w:sz="2" w:space="0" w:color="000000"/>
              <w:right w:val="nil"/>
            </w:tcBorders>
            <w:hideMark/>
          </w:tcPr>
          <w:p w:rsidR="00BF3126" w:rsidRDefault="00BF3126" w:rsidP="00EB2747">
            <w:pPr>
              <w:snapToGrid w:val="0"/>
              <w:spacing w:before="120" w:after="120"/>
              <w:jc w:val="center"/>
            </w:pPr>
            <w:r>
              <w:t>Lp.</w:t>
            </w:r>
          </w:p>
        </w:tc>
        <w:tc>
          <w:tcPr>
            <w:tcW w:w="5103" w:type="dxa"/>
            <w:tcBorders>
              <w:top w:val="single" w:sz="4" w:space="0" w:color="000000"/>
              <w:left w:val="single" w:sz="4" w:space="0" w:color="000000"/>
              <w:bottom w:val="double" w:sz="2" w:space="0" w:color="000000"/>
              <w:right w:val="nil"/>
            </w:tcBorders>
            <w:hideMark/>
          </w:tcPr>
          <w:p w:rsidR="00BF3126" w:rsidRDefault="00BF3126" w:rsidP="00EB2747">
            <w:pPr>
              <w:snapToGrid w:val="0"/>
              <w:spacing w:before="120" w:after="120"/>
              <w:jc w:val="center"/>
            </w:pPr>
            <w:r>
              <w:t>Właściwości</w:t>
            </w:r>
          </w:p>
        </w:tc>
        <w:tc>
          <w:tcPr>
            <w:tcW w:w="955" w:type="dxa"/>
            <w:tcBorders>
              <w:top w:val="single" w:sz="4" w:space="0" w:color="000000"/>
              <w:left w:val="single" w:sz="4" w:space="0" w:color="000000"/>
              <w:bottom w:val="double" w:sz="2" w:space="0" w:color="000000"/>
              <w:right w:val="nil"/>
            </w:tcBorders>
            <w:hideMark/>
          </w:tcPr>
          <w:p w:rsidR="00BF3126" w:rsidRDefault="00BF3126" w:rsidP="00EB2747">
            <w:pPr>
              <w:snapToGrid w:val="0"/>
              <w:spacing w:before="120" w:after="120"/>
              <w:jc w:val="center"/>
            </w:pPr>
            <w:r>
              <w:t>Klasa II</w:t>
            </w:r>
          </w:p>
        </w:tc>
        <w:tc>
          <w:tcPr>
            <w:tcW w:w="980" w:type="dxa"/>
            <w:tcBorders>
              <w:top w:val="single" w:sz="4" w:space="0" w:color="000000"/>
              <w:left w:val="single" w:sz="4" w:space="0" w:color="000000"/>
              <w:bottom w:val="double" w:sz="2" w:space="0" w:color="000000"/>
              <w:right w:val="single" w:sz="4" w:space="0" w:color="000000"/>
            </w:tcBorders>
            <w:hideMark/>
          </w:tcPr>
          <w:p w:rsidR="00BF3126" w:rsidRDefault="00BF3126" w:rsidP="00EB2747">
            <w:pPr>
              <w:snapToGrid w:val="0"/>
              <w:spacing w:before="120" w:after="120"/>
              <w:jc w:val="center"/>
            </w:pPr>
            <w:r>
              <w:t>Klasa III</w:t>
            </w:r>
          </w:p>
        </w:tc>
      </w:tr>
      <w:tr w:rsidR="00BF3126" w:rsidTr="00EB2747">
        <w:tc>
          <w:tcPr>
            <w:tcW w:w="496" w:type="dxa"/>
            <w:tcBorders>
              <w:top w:val="nil"/>
              <w:left w:val="single" w:sz="4" w:space="0" w:color="000000"/>
              <w:bottom w:val="single" w:sz="4" w:space="0" w:color="000000"/>
              <w:right w:val="nil"/>
            </w:tcBorders>
            <w:hideMark/>
          </w:tcPr>
          <w:p w:rsidR="00BF3126" w:rsidRDefault="00BF3126" w:rsidP="00EB2747">
            <w:pPr>
              <w:snapToGrid w:val="0"/>
              <w:jc w:val="center"/>
            </w:pPr>
            <w:r>
              <w:lastRenderedPageBreak/>
              <w:t>1</w:t>
            </w:r>
          </w:p>
        </w:tc>
        <w:tc>
          <w:tcPr>
            <w:tcW w:w="5103" w:type="dxa"/>
            <w:tcBorders>
              <w:top w:val="nil"/>
              <w:left w:val="single" w:sz="4" w:space="0" w:color="000000"/>
              <w:bottom w:val="single" w:sz="4" w:space="0" w:color="000000"/>
              <w:right w:val="nil"/>
            </w:tcBorders>
            <w:hideMark/>
          </w:tcPr>
          <w:p w:rsidR="00BF3126" w:rsidRDefault="00BF3126" w:rsidP="00EB2747">
            <w:pPr>
              <w:snapToGrid w:val="0"/>
            </w:pPr>
            <w:r>
              <w:t>Ścieralność w bębnie Los Angeles, wg PN-B-06714-42 [7]:</w:t>
            </w:r>
          </w:p>
          <w:p w:rsidR="00BF3126" w:rsidRDefault="00BF3126" w:rsidP="00EB2747">
            <w:r>
              <w:t>a) po pełnej liczbie obrotów, % ubytku masy, nie więcej niż:</w:t>
            </w:r>
          </w:p>
          <w:p w:rsidR="00BF3126" w:rsidRDefault="00BF3126" w:rsidP="00EB2747">
            <w:r>
              <w:t xml:space="preserve">    - w tłuczniu</w:t>
            </w:r>
          </w:p>
          <w:p w:rsidR="00BF3126" w:rsidRDefault="00BF3126" w:rsidP="00EB2747">
            <w:r>
              <w:t xml:space="preserve">    - w klińcu</w:t>
            </w:r>
          </w:p>
          <w:p w:rsidR="00BF3126" w:rsidRDefault="00BF3126" w:rsidP="00EB2747">
            <w:r>
              <w:t>b) po 1/5 pełnej liczby obrotów, % ubytku masy w stosunku</w:t>
            </w:r>
          </w:p>
          <w:p w:rsidR="00BF3126" w:rsidRDefault="00BF3126" w:rsidP="00EB2747">
            <w:r>
              <w:t xml:space="preserve">    do ubytku masy po pełnej liczbie obrotów, nie więcej niż:  </w:t>
            </w:r>
          </w:p>
        </w:tc>
        <w:tc>
          <w:tcPr>
            <w:tcW w:w="955" w:type="dxa"/>
            <w:tcBorders>
              <w:top w:val="nil"/>
              <w:left w:val="single" w:sz="4" w:space="0" w:color="000000"/>
              <w:bottom w:val="single" w:sz="4" w:space="0" w:color="000000"/>
              <w:right w:val="nil"/>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35</w:t>
            </w:r>
          </w:p>
          <w:p w:rsidR="00BF3126" w:rsidRDefault="00BF3126" w:rsidP="00EB2747">
            <w:pPr>
              <w:jc w:val="center"/>
            </w:pPr>
            <w:r>
              <w:t>40</w:t>
            </w:r>
          </w:p>
          <w:p w:rsidR="00BF3126" w:rsidRDefault="00BF3126" w:rsidP="00EB2747">
            <w:pPr>
              <w:jc w:val="center"/>
            </w:pPr>
          </w:p>
          <w:p w:rsidR="00BF3126" w:rsidRDefault="00BF3126" w:rsidP="00EB2747">
            <w:pPr>
              <w:jc w:val="center"/>
            </w:pPr>
            <w:r>
              <w:t>30</w:t>
            </w:r>
          </w:p>
        </w:tc>
        <w:tc>
          <w:tcPr>
            <w:tcW w:w="980" w:type="dxa"/>
            <w:tcBorders>
              <w:top w:val="nil"/>
              <w:left w:val="single" w:sz="4" w:space="0" w:color="000000"/>
              <w:bottom w:val="single" w:sz="4" w:space="0" w:color="000000"/>
              <w:right w:val="single" w:sz="4" w:space="0" w:color="000000"/>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50</w:t>
            </w:r>
          </w:p>
          <w:p w:rsidR="00BF3126" w:rsidRDefault="00BF3126" w:rsidP="00EB2747">
            <w:pPr>
              <w:jc w:val="center"/>
            </w:pPr>
            <w:r>
              <w:t>50</w:t>
            </w:r>
          </w:p>
          <w:p w:rsidR="00BF3126" w:rsidRDefault="00BF3126" w:rsidP="00EB2747">
            <w:pPr>
              <w:jc w:val="center"/>
            </w:pPr>
          </w:p>
          <w:p w:rsidR="00BF3126" w:rsidRDefault="00BF3126" w:rsidP="00EB2747">
            <w:pPr>
              <w:jc w:val="center"/>
            </w:pPr>
            <w:r>
              <w:t>35</w:t>
            </w:r>
          </w:p>
        </w:tc>
      </w:tr>
      <w:tr w:rsidR="00BF3126" w:rsidTr="00EB2747">
        <w:tc>
          <w:tcPr>
            <w:tcW w:w="496" w:type="dxa"/>
            <w:tcBorders>
              <w:top w:val="nil"/>
              <w:left w:val="single" w:sz="4" w:space="0" w:color="000000"/>
              <w:bottom w:val="single" w:sz="4" w:space="0" w:color="000000"/>
              <w:right w:val="nil"/>
            </w:tcBorders>
            <w:hideMark/>
          </w:tcPr>
          <w:p w:rsidR="00BF3126" w:rsidRDefault="00BF3126" w:rsidP="00EB2747">
            <w:pPr>
              <w:snapToGrid w:val="0"/>
              <w:jc w:val="center"/>
            </w:pPr>
            <w:r>
              <w:t>2</w:t>
            </w:r>
          </w:p>
        </w:tc>
        <w:tc>
          <w:tcPr>
            <w:tcW w:w="5103" w:type="dxa"/>
            <w:tcBorders>
              <w:top w:val="nil"/>
              <w:left w:val="single" w:sz="4" w:space="0" w:color="000000"/>
              <w:bottom w:val="single" w:sz="4" w:space="0" w:color="000000"/>
              <w:right w:val="nil"/>
            </w:tcBorders>
            <w:hideMark/>
          </w:tcPr>
          <w:p w:rsidR="00BF3126" w:rsidRDefault="00BF3126" w:rsidP="00EB2747">
            <w:pPr>
              <w:snapToGrid w:val="0"/>
            </w:pPr>
            <w:r>
              <w:t>Nasiąkliwość, wg PN-B-06714-18 [4], % m/m, nie więcej niż:</w:t>
            </w:r>
          </w:p>
          <w:p w:rsidR="00BF3126" w:rsidRDefault="00BF3126" w:rsidP="00EB2747">
            <w:r>
              <w:t>a) dla kruszyw ze skał magmowych i przeobrażonych</w:t>
            </w:r>
          </w:p>
          <w:p w:rsidR="00BF3126" w:rsidRDefault="00BF3126" w:rsidP="00EB2747">
            <w:r>
              <w:t>b) dla kruszyw ze skał osadowych</w:t>
            </w:r>
          </w:p>
        </w:tc>
        <w:tc>
          <w:tcPr>
            <w:tcW w:w="955" w:type="dxa"/>
            <w:tcBorders>
              <w:top w:val="nil"/>
              <w:left w:val="single" w:sz="4" w:space="0" w:color="000000"/>
              <w:bottom w:val="single" w:sz="4" w:space="0" w:color="000000"/>
              <w:right w:val="nil"/>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2,0</w:t>
            </w:r>
          </w:p>
          <w:p w:rsidR="00BF3126" w:rsidRDefault="00BF3126" w:rsidP="00EB2747">
            <w:pPr>
              <w:jc w:val="center"/>
            </w:pPr>
            <w:r>
              <w:t>3,0</w:t>
            </w:r>
          </w:p>
        </w:tc>
        <w:tc>
          <w:tcPr>
            <w:tcW w:w="980" w:type="dxa"/>
            <w:tcBorders>
              <w:top w:val="nil"/>
              <w:left w:val="single" w:sz="4" w:space="0" w:color="000000"/>
              <w:bottom w:val="single" w:sz="4" w:space="0" w:color="000000"/>
              <w:right w:val="single" w:sz="4" w:space="0" w:color="000000"/>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3,0</w:t>
            </w:r>
          </w:p>
          <w:p w:rsidR="00BF3126" w:rsidRDefault="00BF3126" w:rsidP="00EB2747">
            <w:pPr>
              <w:jc w:val="center"/>
            </w:pPr>
            <w:r>
              <w:t>5,0</w:t>
            </w:r>
          </w:p>
        </w:tc>
      </w:tr>
      <w:tr w:rsidR="00BF3126" w:rsidTr="00EB2747">
        <w:tc>
          <w:tcPr>
            <w:tcW w:w="496" w:type="dxa"/>
            <w:tcBorders>
              <w:top w:val="nil"/>
              <w:left w:val="single" w:sz="4" w:space="0" w:color="000000"/>
              <w:bottom w:val="single" w:sz="4" w:space="0" w:color="000000"/>
              <w:right w:val="nil"/>
            </w:tcBorders>
            <w:hideMark/>
          </w:tcPr>
          <w:p w:rsidR="00BF3126" w:rsidRDefault="00BF3126" w:rsidP="00EB2747">
            <w:pPr>
              <w:snapToGrid w:val="0"/>
              <w:jc w:val="center"/>
            </w:pPr>
            <w:r>
              <w:t>3</w:t>
            </w:r>
          </w:p>
        </w:tc>
        <w:tc>
          <w:tcPr>
            <w:tcW w:w="5103" w:type="dxa"/>
            <w:tcBorders>
              <w:top w:val="nil"/>
              <w:left w:val="single" w:sz="4" w:space="0" w:color="000000"/>
              <w:bottom w:val="single" w:sz="4" w:space="0" w:color="000000"/>
              <w:right w:val="nil"/>
            </w:tcBorders>
            <w:hideMark/>
          </w:tcPr>
          <w:p w:rsidR="00BF3126" w:rsidRDefault="00BF3126" w:rsidP="00EB2747">
            <w:pPr>
              <w:snapToGrid w:val="0"/>
            </w:pPr>
            <w:r>
              <w:t>Odporność na działanie mrozu, wg PN-B-06714-19 [5], % ubytku masy, nie więcej niż:</w:t>
            </w:r>
          </w:p>
          <w:p w:rsidR="00BF3126" w:rsidRDefault="00BF3126" w:rsidP="00EB2747">
            <w:r>
              <w:t>a) dla kruszyw ze skał magmowych i przeobrażonych</w:t>
            </w:r>
          </w:p>
          <w:p w:rsidR="00BF3126" w:rsidRDefault="00BF3126" w:rsidP="00EB2747">
            <w:r>
              <w:t>b) dla kruszyw ze skał osadowych</w:t>
            </w:r>
          </w:p>
        </w:tc>
        <w:tc>
          <w:tcPr>
            <w:tcW w:w="955" w:type="dxa"/>
            <w:tcBorders>
              <w:top w:val="nil"/>
              <w:left w:val="single" w:sz="4" w:space="0" w:color="000000"/>
              <w:bottom w:val="single" w:sz="4" w:space="0" w:color="000000"/>
              <w:right w:val="nil"/>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4,0</w:t>
            </w:r>
          </w:p>
          <w:p w:rsidR="00BF3126" w:rsidRDefault="00BF3126" w:rsidP="00EB2747">
            <w:pPr>
              <w:jc w:val="center"/>
            </w:pPr>
            <w:r>
              <w:t>5,0</w:t>
            </w:r>
          </w:p>
        </w:tc>
        <w:tc>
          <w:tcPr>
            <w:tcW w:w="980" w:type="dxa"/>
            <w:tcBorders>
              <w:top w:val="nil"/>
              <w:left w:val="single" w:sz="4" w:space="0" w:color="000000"/>
              <w:bottom w:val="single" w:sz="4" w:space="0" w:color="000000"/>
              <w:right w:val="single" w:sz="4" w:space="0" w:color="000000"/>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r>
              <w:t>10,0</w:t>
            </w:r>
          </w:p>
          <w:p w:rsidR="00BF3126" w:rsidRDefault="00BF3126" w:rsidP="00EB2747">
            <w:pPr>
              <w:jc w:val="center"/>
            </w:pPr>
            <w:r>
              <w:t>10,0</w:t>
            </w:r>
          </w:p>
        </w:tc>
      </w:tr>
      <w:tr w:rsidR="00BF3126" w:rsidTr="00EB2747">
        <w:tc>
          <w:tcPr>
            <w:tcW w:w="496" w:type="dxa"/>
            <w:tcBorders>
              <w:top w:val="nil"/>
              <w:left w:val="single" w:sz="4" w:space="0" w:color="000000"/>
              <w:bottom w:val="single" w:sz="4" w:space="0" w:color="000000"/>
              <w:right w:val="nil"/>
            </w:tcBorders>
            <w:hideMark/>
          </w:tcPr>
          <w:p w:rsidR="00BF3126" w:rsidRDefault="00BF3126" w:rsidP="00EB2747">
            <w:pPr>
              <w:snapToGrid w:val="0"/>
              <w:jc w:val="center"/>
            </w:pPr>
            <w:r>
              <w:t>4</w:t>
            </w:r>
          </w:p>
        </w:tc>
        <w:tc>
          <w:tcPr>
            <w:tcW w:w="5103" w:type="dxa"/>
            <w:tcBorders>
              <w:top w:val="nil"/>
              <w:left w:val="single" w:sz="4" w:space="0" w:color="000000"/>
              <w:bottom w:val="single" w:sz="4" w:space="0" w:color="000000"/>
              <w:right w:val="nil"/>
            </w:tcBorders>
            <w:hideMark/>
          </w:tcPr>
          <w:p w:rsidR="00BF3126" w:rsidRDefault="00BF3126" w:rsidP="00EB2747">
            <w:pPr>
              <w:snapToGrid w:val="0"/>
            </w:pPr>
            <w:r>
              <w:t>Odporność na działanie mrozu według zmodyfikowanej metody bezpośredniej, wg PN-B-06714-19 [5] i PN-B-11112 [8], % ubytku masy, nie więcej niż:</w:t>
            </w:r>
          </w:p>
          <w:p w:rsidR="00BF3126" w:rsidRDefault="00BF3126" w:rsidP="00EB2747">
            <w:r>
              <w:t>- w klińcu</w:t>
            </w:r>
          </w:p>
          <w:p w:rsidR="00BF3126" w:rsidRDefault="00BF3126" w:rsidP="00EB2747">
            <w:r>
              <w:t>- w tłuczniu</w:t>
            </w:r>
          </w:p>
        </w:tc>
        <w:tc>
          <w:tcPr>
            <w:tcW w:w="955" w:type="dxa"/>
            <w:tcBorders>
              <w:top w:val="nil"/>
              <w:left w:val="single" w:sz="4" w:space="0" w:color="000000"/>
              <w:bottom w:val="single" w:sz="4" w:space="0" w:color="000000"/>
              <w:right w:val="nil"/>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p>
          <w:p w:rsidR="00BF3126" w:rsidRDefault="00BF3126" w:rsidP="00EB2747">
            <w:pPr>
              <w:jc w:val="center"/>
              <w:rPr>
                <w:sz w:val="16"/>
              </w:rPr>
            </w:pPr>
            <w:r>
              <w:t>30</w:t>
            </w:r>
          </w:p>
          <w:p w:rsidR="00BF3126" w:rsidRDefault="00BF3126" w:rsidP="00EB2747">
            <w:pPr>
              <w:jc w:val="center"/>
            </w:pPr>
            <w:r>
              <w:rPr>
                <w:sz w:val="16"/>
              </w:rPr>
              <w:t>nie bada się</w:t>
            </w:r>
          </w:p>
        </w:tc>
        <w:tc>
          <w:tcPr>
            <w:tcW w:w="980" w:type="dxa"/>
            <w:tcBorders>
              <w:top w:val="nil"/>
              <w:left w:val="single" w:sz="4" w:space="0" w:color="000000"/>
              <w:bottom w:val="single" w:sz="4" w:space="0" w:color="000000"/>
              <w:right w:val="single" w:sz="4" w:space="0" w:color="000000"/>
            </w:tcBorders>
          </w:tcPr>
          <w:p w:rsidR="00BF3126" w:rsidRDefault="00BF3126" w:rsidP="00EB2747">
            <w:pPr>
              <w:snapToGrid w:val="0"/>
              <w:jc w:val="center"/>
            </w:pPr>
          </w:p>
          <w:p w:rsidR="00BF3126" w:rsidRDefault="00BF3126" w:rsidP="00EB2747">
            <w:pPr>
              <w:jc w:val="center"/>
            </w:pPr>
          </w:p>
          <w:p w:rsidR="00BF3126" w:rsidRDefault="00BF3126" w:rsidP="00EB2747">
            <w:pPr>
              <w:jc w:val="center"/>
            </w:pPr>
          </w:p>
          <w:p w:rsidR="00BF3126" w:rsidRDefault="00BF3126" w:rsidP="00EB2747">
            <w:pPr>
              <w:spacing w:before="60"/>
              <w:jc w:val="center"/>
              <w:rPr>
                <w:sz w:val="16"/>
              </w:rPr>
            </w:pPr>
            <w:r>
              <w:rPr>
                <w:sz w:val="16"/>
              </w:rPr>
              <w:t>nie bada się</w:t>
            </w:r>
          </w:p>
          <w:p w:rsidR="00BF3126" w:rsidRDefault="00BF3126" w:rsidP="00EB2747">
            <w:pPr>
              <w:jc w:val="center"/>
            </w:pPr>
            <w:r>
              <w:rPr>
                <w:sz w:val="16"/>
              </w:rPr>
              <w:t>nie bada się</w:t>
            </w:r>
          </w:p>
        </w:tc>
      </w:tr>
    </w:tbl>
    <w:p w:rsidR="00BF3126" w:rsidRDefault="00EB2747" w:rsidP="00BF3126">
      <w:bookmarkStart w:id="0" w:name="_GoBack"/>
      <w:bookmarkEnd w:id="0"/>
      <w:r>
        <w:br w:type="textWrapping" w:clear="all"/>
      </w:r>
    </w:p>
    <w:p w:rsidR="00BF3126" w:rsidRDefault="00BF3126" w:rsidP="00BF3126">
      <w:r>
        <w:t>Tablica 2. Wymagania dla tłucznia i klińca w zależności od warstwy podbudowy</w:t>
      </w:r>
    </w:p>
    <w:p w:rsidR="00BF3126" w:rsidRDefault="00BF3126" w:rsidP="00BF3126">
      <w:pPr>
        <w:spacing w:after="120"/>
      </w:pPr>
      <w:r>
        <w:t xml:space="preserve">                 tłuczniowej, wg PN-B-11112 [8]</w:t>
      </w:r>
    </w:p>
    <w:tbl>
      <w:tblPr>
        <w:tblW w:w="0" w:type="auto"/>
        <w:tblInd w:w="-12" w:type="dxa"/>
        <w:tblLayout w:type="fixed"/>
        <w:tblCellMar>
          <w:left w:w="70" w:type="dxa"/>
          <w:right w:w="70" w:type="dxa"/>
        </w:tblCellMar>
        <w:tblLook w:val="04A0" w:firstRow="1" w:lastRow="0" w:firstColumn="1" w:lastColumn="0" w:noHBand="0" w:noVBand="1"/>
      </w:tblPr>
      <w:tblGrid>
        <w:gridCol w:w="496"/>
        <w:gridCol w:w="4394"/>
        <w:gridCol w:w="1309"/>
        <w:gridCol w:w="1336"/>
      </w:tblGrid>
      <w:tr w:rsidR="00BF3126" w:rsidTr="00BF3126">
        <w:tc>
          <w:tcPr>
            <w:tcW w:w="496" w:type="dxa"/>
            <w:tcBorders>
              <w:top w:val="single" w:sz="4" w:space="0" w:color="000000"/>
              <w:left w:val="single" w:sz="4" w:space="0" w:color="000000"/>
              <w:bottom w:val="double" w:sz="2" w:space="0" w:color="000000"/>
              <w:right w:val="nil"/>
            </w:tcBorders>
          </w:tcPr>
          <w:p w:rsidR="00BF3126" w:rsidRDefault="00BF3126">
            <w:pPr>
              <w:snapToGrid w:val="0"/>
              <w:jc w:val="center"/>
            </w:pPr>
          </w:p>
          <w:p w:rsidR="00BF3126" w:rsidRDefault="00BF3126">
            <w:pPr>
              <w:jc w:val="center"/>
            </w:pPr>
            <w:r>
              <w:t>Lp.</w:t>
            </w:r>
          </w:p>
        </w:tc>
        <w:tc>
          <w:tcPr>
            <w:tcW w:w="4394" w:type="dxa"/>
            <w:tcBorders>
              <w:top w:val="single" w:sz="4" w:space="0" w:color="000000"/>
              <w:left w:val="single" w:sz="4" w:space="0" w:color="000000"/>
              <w:bottom w:val="double" w:sz="2" w:space="0" w:color="000000"/>
              <w:right w:val="nil"/>
            </w:tcBorders>
          </w:tcPr>
          <w:p w:rsidR="00BF3126" w:rsidRDefault="00BF3126">
            <w:pPr>
              <w:snapToGrid w:val="0"/>
            </w:pPr>
          </w:p>
          <w:p w:rsidR="00BF3126" w:rsidRDefault="00BF3126">
            <w:pPr>
              <w:jc w:val="center"/>
              <w:rPr>
                <w:sz w:val="16"/>
              </w:rPr>
            </w:pPr>
            <w:r>
              <w:t>Właściwości</w:t>
            </w:r>
          </w:p>
        </w:tc>
        <w:tc>
          <w:tcPr>
            <w:tcW w:w="1309" w:type="dxa"/>
            <w:tcBorders>
              <w:top w:val="single" w:sz="4" w:space="0" w:color="000000"/>
              <w:left w:val="single" w:sz="4" w:space="0" w:color="000000"/>
              <w:bottom w:val="double" w:sz="2" w:space="0" w:color="000000"/>
              <w:right w:val="nil"/>
            </w:tcBorders>
            <w:hideMark/>
          </w:tcPr>
          <w:p w:rsidR="00BF3126" w:rsidRDefault="00BF3126">
            <w:pPr>
              <w:snapToGrid w:val="0"/>
              <w:jc w:val="center"/>
              <w:rPr>
                <w:sz w:val="16"/>
              </w:rPr>
            </w:pPr>
            <w:r>
              <w:rPr>
                <w:sz w:val="16"/>
              </w:rPr>
              <w:t>Podbudowa jednowarstwowa lub podbudowa zasadnicza</w:t>
            </w:r>
          </w:p>
        </w:tc>
        <w:tc>
          <w:tcPr>
            <w:tcW w:w="1336" w:type="dxa"/>
            <w:tcBorders>
              <w:top w:val="single" w:sz="4" w:space="0" w:color="000000"/>
              <w:left w:val="single" w:sz="4" w:space="0" w:color="000000"/>
              <w:bottom w:val="double" w:sz="2" w:space="0" w:color="000000"/>
              <w:right w:val="single" w:sz="4" w:space="0" w:color="000000"/>
            </w:tcBorders>
          </w:tcPr>
          <w:p w:rsidR="00BF3126" w:rsidRDefault="00BF3126">
            <w:pPr>
              <w:snapToGrid w:val="0"/>
              <w:jc w:val="center"/>
              <w:rPr>
                <w:sz w:val="16"/>
              </w:rPr>
            </w:pPr>
          </w:p>
          <w:p w:rsidR="00BF3126" w:rsidRDefault="00BF3126">
            <w:pPr>
              <w:jc w:val="center"/>
            </w:pPr>
            <w:r>
              <w:rPr>
                <w:sz w:val="16"/>
              </w:rPr>
              <w:t>Podbudowa pomocnicza</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jc w:val="center"/>
            </w:pPr>
            <w:r>
              <w:t>1</w:t>
            </w:r>
          </w:p>
        </w:tc>
        <w:tc>
          <w:tcPr>
            <w:tcW w:w="4394" w:type="dxa"/>
            <w:tcBorders>
              <w:top w:val="nil"/>
              <w:left w:val="single" w:sz="4" w:space="0" w:color="000000"/>
              <w:bottom w:val="single" w:sz="4" w:space="0" w:color="000000"/>
              <w:right w:val="nil"/>
            </w:tcBorders>
            <w:hideMark/>
          </w:tcPr>
          <w:p w:rsidR="00BF3126" w:rsidRDefault="00BF3126">
            <w:pPr>
              <w:snapToGrid w:val="0"/>
            </w:pPr>
            <w:r>
              <w:t>Uziarnienie, wg PN-B-06714-15 [2]</w:t>
            </w:r>
          </w:p>
          <w:p w:rsidR="00BF3126" w:rsidRDefault="00BF3126">
            <w:r>
              <w:t xml:space="preserve">a) zawartość </w:t>
            </w:r>
            <w:proofErr w:type="spellStart"/>
            <w:r>
              <w:t>ziarn</w:t>
            </w:r>
            <w:proofErr w:type="spellEnd"/>
            <w:r>
              <w:t xml:space="preserve"> mniejszych niż 0,075 mm, </w:t>
            </w:r>
            <w:proofErr w:type="spellStart"/>
            <w:r>
              <w:t>odsia</w:t>
            </w:r>
            <w:proofErr w:type="spellEnd"/>
            <w:r>
              <w:t>-</w:t>
            </w:r>
          </w:p>
          <w:p w:rsidR="00BF3126" w:rsidRDefault="00BF3126">
            <w:r>
              <w:t xml:space="preserve">    </w:t>
            </w:r>
            <w:proofErr w:type="spellStart"/>
            <w:r>
              <w:t>nych</w:t>
            </w:r>
            <w:proofErr w:type="spellEnd"/>
            <w:r>
              <w:t xml:space="preserve"> na mokro, % m/m, nie więcej niż:</w:t>
            </w:r>
          </w:p>
          <w:p w:rsidR="00BF3126" w:rsidRDefault="00BF3126">
            <w:r>
              <w:t xml:space="preserve">    - w tłuczniu</w:t>
            </w:r>
          </w:p>
          <w:p w:rsidR="00BF3126" w:rsidRDefault="00BF3126">
            <w:r>
              <w:t xml:space="preserve">    - w klińcu</w:t>
            </w:r>
          </w:p>
          <w:p w:rsidR="00BF3126" w:rsidRDefault="00BF3126">
            <w:r>
              <w:t>b) zawartość frakcji podstawowej, % m/m, nie</w:t>
            </w:r>
          </w:p>
          <w:p w:rsidR="00BF3126" w:rsidRDefault="00BF3126">
            <w:r>
              <w:t xml:space="preserve">    mniej niż:</w:t>
            </w:r>
          </w:p>
          <w:p w:rsidR="00BF3126" w:rsidRDefault="00BF3126">
            <w:r>
              <w:t xml:space="preserve">    - w tłuczniu i w klińcu</w:t>
            </w:r>
          </w:p>
          <w:p w:rsidR="00BF3126" w:rsidRDefault="00BF3126">
            <w:r>
              <w:t>c) zawartość podziarna, % m/m, nie więcej niż:</w:t>
            </w:r>
          </w:p>
          <w:p w:rsidR="00BF3126" w:rsidRDefault="00BF3126">
            <w:r>
              <w:t xml:space="preserve">    - w tłuczniu i w klińcu</w:t>
            </w:r>
          </w:p>
          <w:p w:rsidR="00BF3126" w:rsidRDefault="00BF3126">
            <w:r>
              <w:t>d) zawartość nadziarna, % m/m, nie więcej niż:</w:t>
            </w:r>
          </w:p>
          <w:p w:rsidR="00BF3126" w:rsidRDefault="00BF3126">
            <w:r>
              <w:t xml:space="preserve">    - w tłuczniu i w klińcu</w:t>
            </w:r>
          </w:p>
        </w:tc>
        <w:tc>
          <w:tcPr>
            <w:tcW w:w="1309" w:type="dxa"/>
            <w:tcBorders>
              <w:top w:val="nil"/>
              <w:left w:val="single" w:sz="4" w:space="0" w:color="000000"/>
              <w:bottom w:val="single" w:sz="4" w:space="0" w:color="000000"/>
              <w:right w:val="nil"/>
            </w:tcBorders>
          </w:tcPr>
          <w:p w:rsidR="00BF3126" w:rsidRDefault="00BF3126">
            <w:pPr>
              <w:snapToGrid w:val="0"/>
              <w:jc w:val="center"/>
            </w:pPr>
          </w:p>
          <w:p w:rsidR="00BF3126" w:rsidRDefault="00BF3126">
            <w:pPr>
              <w:jc w:val="center"/>
            </w:pPr>
          </w:p>
          <w:p w:rsidR="00BF3126" w:rsidRDefault="00BF3126">
            <w:pPr>
              <w:jc w:val="center"/>
            </w:pPr>
          </w:p>
          <w:p w:rsidR="00BF3126" w:rsidRDefault="00BF3126">
            <w:pPr>
              <w:jc w:val="center"/>
            </w:pPr>
            <w:r>
              <w:t>3</w:t>
            </w:r>
          </w:p>
          <w:p w:rsidR="00BF3126" w:rsidRDefault="00BF3126">
            <w:pPr>
              <w:jc w:val="center"/>
            </w:pPr>
            <w:r>
              <w:t>4</w:t>
            </w:r>
          </w:p>
          <w:p w:rsidR="00BF3126" w:rsidRDefault="00BF3126">
            <w:pPr>
              <w:jc w:val="center"/>
            </w:pPr>
          </w:p>
          <w:p w:rsidR="00BF3126" w:rsidRDefault="00BF3126">
            <w:pPr>
              <w:jc w:val="center"/>
            </w:pPr>
          </w:p>
          <w:p w:rsidR="00BF3126" w:rsidRDefault="00BF3126">
            <w:pPr>
              <w:jc w:val="center"/>
            </w:pPr>
            <w:r>
              <w:t>75</w:t>
            </w:r>
          </w:p>
          <w:p w:rsidR="00BF3126" w:rsidRDefault="00BF3126">
            <w:pPr>
              <w:jc w:val="center"/>
            </w:pPr>
          </w:p>
          <w:p w:rsidR="00BF3126" w:rsidRDefault="00BF3126">
            <w:pPr>
              <w:jc w:val="center"/>
            </w:pPr>
            <w:r>
              <w:t>15</w:t>
            </w:r>
          </w:p>
          <w:p w:rsidR="00BF3126" w:rsidRDefault="00BF3126">
            <w:pPr>
              <w:jc w:val="center"/>
            </w:pPr>
          </w:p>
          <w:p w:rsidR="00BF3126" w:rsidRDefault="00BF3126">
            <w:pPr>
              <w:jc w:val="center"/>
            </w:pPr>
            <w:r>
              <w:t>15</w:t>
            </w:r>
          </w:p>
        </w:tc>
        <w:tc>
          <w:tcPr>
            <w:tcW w:w="1336" w:type="dxa"/>
            <w:tcBorders>
              <w:top w:val="nil"/>
              <w:left w:val="single" w:sz="4" w:space="0" w:color="000000"/>
              <w:bottom w:val="single" w:sz="4" w:space="0" w:color="000000"/>
              <w:right w:val="single" w:sz="4" w:space="0" w:color="000000"/>
            </w:tcBorders>
          </w:tcPr>
          <w:p w:rsidR="00BF3126" w:rsidRDefault="00BF3126">
            <w:pPr>
              <w:snapToGrid w:val="0"/>
              <w:jc w:val="center"/>
            </w:pPr>
          </w:p>
          <w:p w:rsidR="00BF3126" w:rsidRDefault="00BF3126">
            <w:pPr>
              <w:jc w:val="center"/>
            </w:pPr>
          </w:p>
          <w:p w:rsidR="00BF3126" w:rsidRDefault="00BF3126">
            <w:pPr>
              <w:jc w:val="center"/>
            </w:pPr>
          </w:p>
          <w:p w:rsidR="00BF3126" w:rsidRDefault="00BF3126">
            <w:pPr>
              <w:jc w:val="center"/>
            </w:pPr>
            <w:r>
              <w:t>4</w:t>
            </w:r>
          </w:p>
          <w:p w:rsidR="00BF3126" w:rsidRDefault="00BF3126">
            <w:pPr>
              <w:jc w:val="center"/>
            </w:pPr>
            <w:r>
              <w:t>5</w:t>
            </w:r>
          </w:p>
          <w:p w:rsidR="00BF3126" w:rsidRDefault="00BF3126">
            <w:pPr>
              <w:jc w:val="center"/>
            </w:pPr>
          </w:p>
          <w:p w:rsidR="00BF3126" w:rsidRDefault="00BF3126">
            <w:pPr>
              <w:jc w:val="center"/>
            </w:pPr>
          </w:p>
          <w:p w:rsidR="00BF3126" w:rsidRDefault="00BF3126">
            <w:pPr>
              <w:jc w:val="center"/>
            </w:pPr>
            <w:r>
              <w:t>65</w:t>
            </w:r>
          </w:p>
          <w:p w:rsidR="00BF3126" w:rsidRDefault="00BF3126">
            <w:pPr>
              <w:jc w:val="center"/>
            </w:pPr>
          </w:p>
          <w:p w:rsidR="00BF3126" w:rsidRDefault="00BF3126">
            <w:pPr>
              <w:jc w:val="center"/>
            </w:pPr>
            <w:r>
              <w:t>25</w:t>
            </w:r>
          </w:p>
          <w:p w:rsidR="00BF3126" w:rsidRDefault="00BF3126">
            <w:pPr>
              <w:jc w:val="center"/>
            </w:pPr>
          </w:p>
          <w:p w:rsidR="00BF3126" w:rsidRDefault="00BF3126">
            <w:pPr>
              <w:jc w:val="center"/>
            </w:pPr>
            <w:r>
              <w:t>20</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jc w:val="center"/>
            </w:pPr>
            <w:r>
              <w:t>2</w:t>
            </w:r>
          </w:p>
        </w:tc>
        <w:tc>
          <w:tcPr>
            <w:tcW w:w="4394" w:type="dxa"/>
            <w:tcBorders>
              <w:top w:val="nil"/>
              <w:left w:val="single" w:sz="4" w:space="0" w:color="000000"/>
              <w:bottom w:val="single" w:sz="4" w:space="0" w:color="000000"/>
              <w:right w:val="nil"/>
            </w:tcBorders>
            <w:hideMark/>
          </w:tcPr>
          <w:p w:rsidR="00BF3126" w:rsidRDefault="00BF3126">
            <w:pPr>
              <w:snapToGrid w:val="0"/>
            </w:pPr>
            <w:r>
              <w:t>Zawartość zanieczyszczeń obcych, wg PN-B-06714-12 [1], % m/m, nie więcej niż:</w:t>
            </w:r>
          </w:p>
          <w:p w:rsidR="00BF3126" w:rsidRDefault="00BF3126">
            <w:r>
              <w:t>- w tłuczniu i w klińcu</w:t>
            </w:r>
          </w:p>
        </w:tc>
        <w:tc>
          <w:tcPr>
            <w:tcW w:w="1309" w:type="dxa"/>
            <w:tcBorders>
              <w:top w:val="nil"/>
              <w:left w:val="single" w:sz="4" w:space="0" w:color="000000"/>
              <w:bottom w:val="single" w:sz="4" w:space="0" w:color="000000"/>
              <w:right w:val="nil"/>
            </w:tcBorders>
          </w:tcPr>
          <w:p w:rsidR="00BF3126" w:rsidRDefault="00BF3126">
            <w:pPr>
              <w:snapToGrid w:val="0"/>
              <w:jc w:val="center"/>
            </w:pPr>
          </w:p>
          <w:p w:rsidR="00BF3126" w:rsidRDefault="00BF3126">
            <w:pPr>
              <w:jc w:val="center"/>
            </w:pPr>
          </w:p>
          <w:p w:rsidR="00BF3126" w:rsidRDefault="00BF3126">
            <w:pPr>
              <w:jc w:val="center"/>
            </w:pPr>
            <w:r>
              <w:t>0,2</w:t>
            </w:r>
          </w:p>
        </w:tc>
        <w:tc>
          <w:tcPr>
            <w:tcW w:w="1336" w:type="dxa"/>
            <w:tcBorders>
              <w:top w:val="nil"/>
              <w:left w:val="single" w:sz="4" w:space="0" w:color="000000"/>
              <w:bottom w:val="single" w:sz="4" w:space="0" w:color="000000"/>
              <w:right w:val="single" w:sz="4" w:space="0" w:color="000000"/>
            </w:tcBorders>
          </w:tcPr>
          <w:p w:rsidR="00BF3126" w:rsidRDefault="00BF3126">
            <w:pPr>
              <w:snapToGrid w:val="0"/>
              <w:jc w:val="center"/>
            </w:pPr>
          </w:p>
          <w:p w:rsidR="00BF3126" w:rsidRDefault="00BF3126">
            <w:pPr>
              <w:jc w:val="center"/>
            </w:pPr>
          </w:p>
          <w:p w:rsidR="00BF3126" w:rsidRDefault="00BF3126">
            <w:pPr>
              <w:jc w:val="center"/>
            </w:pPr>
            <w:r>
              <w:t>0,3</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jc w:val="center"/>
            </w:pPr>
            <w:r>
              <w:t>3</w:t>
            </w:r>
          </w:p>
        </w:tc>
        <w:tc>
          <w:tcPr>
            <w:tcW w:w="4394" w:type="dxa"/>
            <w:tcBorders>
              <w:top w:val="nil"/>
              <w:left w:val="single" w:sz="4" w:space="0" w:color="000000"/>
              <w:bottom w:val="single" w:sz="4" w:space="0" w:color="000000"/>
              <w:right w:val="nil"/>
            </w:tcBorders>
            <w:hideMark/>
          </w:tcPr>
          <w:p w:rsidR="00BF3126" w:rsidRDefault="00BF3126">
            <w:pPr>
              <w:snapToGrid w:val="0"/>
            </w:pPr>
            <w:r>
              <w:t xml:space="preserve">Zawartość </w:t>
            </w:r>
            <w:proofErr w:type="spellStart"/>
            <w:r>
              <w:t>ziarn</w:t>
            </w:r>
            <w:proofErr w:type="spellEnd"/>
            <w:r>
              <w:t xml:space="preserve"> nieforemnych, wg PN-B-06714-16 [3], % m/m, nie więcej niż:</w:t>
            </w:r>
          </w:p>
          <w:p w:rsidR="00BF3126" w:rsidRDefault="00BF3126">
            <w:r>
              <w:t>- w tłuczniu</w:t>
            </w:r>
          </w:p>
          <w:p w:rsidR="00BF3126" w:rsidRDefault="00BF3126">
            <w:r>
              <w:t>- w klińcu</w:t>
            </w:r>
          </w:p>
        </w:tc>
        <w:tc>
          <w:tcPr>
            <w:tcW w:w="1309" w:type="dxa"/>
            <w:tcBorders>
              <w:top w:val="nil"/>
              <w:left w:val="single" w:sz="4" w:space="0" w:color="000000"/>
              <w:bottom w:val="single" w:sz="4" w:space="0" w:color="000000"/>
              <w:right w:val="nil"/>
            </w:tcBorders>
          </w:tcPr>
          <w:p w:rsidR="00BF3126" w:rsidRDefault="00BF3126">
            <w:pPr>
              <w:snapToGrid w:val="0"/>
              <w:jc w:val="center"/>
            </w:pPr>
          </w:p>
          <w:p w:rsidR="00BF3126" w:rsidRDefault="00BF3126">
            <w:pPr>
              <w:jc w:val="center"/>
            </w:pPr>
          </w:p>
          <w:p w:rsidR="00BF3126" w:rsidRDefault="00BF3126">
            <w:pPr>
              <w:jc w:val="center"/>
            </w:pPr>
            <w:r>
              <w:t>40</w:t>
            </w:r>
          </w:p>
          <w:p w:rsidR="00BF3126" w:rsidRDefault="00BF3126">
            <w:pPr>
              <w:jc w:val="center"/>
            </w:pPr>
            <w:r>
              <w:t>nie bada się</w:t>
            </w:r>
          </w:p>
        </w:tc>
        <w:tc>
          <w:tcPr>
            <w:tcW w:w="1336" w:type="dxa"/>
            <w:tcBorders>
              <w:top w:val="nil"/>
              <w:left w:val="single" w:sz="4" w:space="0" w:color="000000"/>
              <w:bottom w:val="single" w:sz="4" w:space="0" w:color="000000"/>
              <w:right w:val="single" w:sz="4" w:space="0" w:color="000000"/>
            </w:tcBorders>
          </w:tcPr>
          <w:p w:rsidR="00BF3126" w:rsidRDefault="00BF3126">
            <w:pPr>
              <w:snapToGrid w:val="0"/>
              <w:jc w:val="center"/>
            </w:pPr>
          </w:p>
          <w:p w:rsidR="00BF3126" w:rsidRDefault="00BF3126">
            <w:pPr>
              <w:jc w:val="center"/>
            </w:pPr>
          </w:p>
          <w:p w:rsidR="00BF3126" w:rsidRDefault="00BF3126">
            <w:pPr>
              <w:jc w:val="center"/>
            </w:pPr>
            <w:r>
              <w:t>45</w:t>
            </w:r>
          </w:p>
          <w:p w:rsidR="00BF3126" w:rsidRDefault="00BF3126">
            <w:pPr>
              <w:jc w:val="center"/>
            </w:pPr>
            <w:r>
              <w:t>nie bada się</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jc w:val="center"/>
            </w:pPr>
            <w:r>
              <w:t>4</w:t>
            </w:r>
          </w:p>
        </w:tc>
        <w:tc>
          <w:tcPr>
            <w:tcW w:w="4394" w:type="dxa"/>
            <w:tcBorders>
              <w:top w:val="nil"/>
              <w:left w:val="single" w:sz="4" w:space="0" w:color="000000"/>
              <w:bottom w:val="single" w:sz="4" w:space="0" w:color="000000"/>
              <w:right w:val="nil"/>
            </w:tcBorders>
            <w:hideMark/>
          </w:tcPr>
          <w:p w:rsidR="00BF3126" w:rsidRDefault="00BF3126">
            <w:pPr>
              <w:snapToGrid w:val="0"/>
            </w:pPr>
            <w:r>
              <w:t>Zawartość zanieczyszczeń organicznych, barwa cieczy wg PN-B-06714-26 [6]:</w:t>
            </w:r>
          </w:p>
          <w:p w:rsidR="00BF3126" w:rsidRDefault="00BF3126">
            <w:r>
              <w:t xml:space="preserve">- w tłuczniu i w klińcu, barwa cieczy nie ciemniejsza </w:t>
            </w:r>
          </w:p>
          <w:p w:rsidR="00BF3126" w:rsidRDefault="00BF3126">
            <w:r>
              <w:t xml:space="preserve">   niż:</w:t>
            </w:r>
          </w:p>
        </w:tc>
        <w:tc>
          <w:tcPr>
            <w:tcW w:w="2645" w:type="dxa"/>
            <w:gridSpan w:val="2"/>
            <w:tcBorders>
              <w:top w:val="nil"/>
              <w:left w:val="single" w:sz="4" w:space="0" w:color="000000"/>
              <w:bottom w:val="single" w:sz="4" w:space="0" w:color="000000"/>
              <w:right w:val="single" w:sz="4" w:space="0" w:color="000000"/>
            </w:tcBorders>
          </w:tcPr>
          <w:p w:rsidR="00BF3126" w:rsidRDefault="00BF3126">
            <w:pPr>
              <w:snapToGrid w:val="0"/>
              <w:jc w:val="center"/>
            </w:pPr>
          </w:p>
          <w:p w:rsidR="00BF3126" w:rsidRDefault="00BF3126">
            <w:pPr>
              <w:jc w:val="center"/>
            </w:pPr>
          </w:p>
          <w:p w:rsidR="00BF3126" w:rsidRDefault="00BF3126">
            <w:pPr>
              <w:jc w:val="center"/>
            </w:pPr>
          </w:p>
          <w:p w:rsidR="00BF3126" w:rsidRDefault="00BF3126">
            <w:pPr>
              <w:jc w:val="center"/>
            </w:pPr>
            <w:r>
              <w:t>wzorcowa</w:t>
            </w:r>
          </w:p>
        </w:tc>
      </w:tr>
    </w:tbl>
    <w:p w:rsidR="00BF3126" w:rsidRDefault="00BF3126" w:rsidP="00BF3126"/>
    <w:p w:rsidR="00BF3126" w:rsidRDefault="00BF3126" w:rsidP="00BF3126">
      <w:pPr>
        <w:pStyle w:val="Nagwek2"/>
        <w:numPr>
          <w:ilvl w:val="1"/>
          <w:numId w:val="1"/>
        </w:numPr>
        <w:tabs>
          <w:tab w:val="left" w:pos="0"/>
        </w:tabs>
      </w:pPr>
      <w:r>
        <w:t>2.4. Woda</w:t>
      </w:r>
    </w:p>
    <w:p w:rsidR="00BF3126" w:rsidRDefault="00BF3126" w:rsidP="00BF3126">
      <w:r>
        <w:tab/>
        <w:t>Woda użyta przy wykonywaniu zagęszczania i klinowania podbudowy może być studzienna lub z wodociągu, bez specjalnych wymagań.</w:t>
      </w:r>
    </w:p>
    <w:p w:rsidR="00BF3126" w:rsidRDefault="00BF3126" w:rsidP="00BF3126">
      <w:pPr>
        <w:pStyle w:val="Nagwek1"/>
        <w:numPr>
          <w:ilvl w:val="0"/>
          <w:numId w:val="1"/>
        </w:numPr>
        <w:tabs>
          <w:tab w:val="left" w:pos="0"/>
        </w:tabs>
      </w:pPr>
      <w:r>
        <w:t>3. sprzęt</w:t>
      </w:r>
    </w:p>
    <w:p w:rsidR="00BF3126" w:rsidRDefault="00BF3126" w:rsidP="00BF3126">
      <w:pPr>
        <w:pStyle w:val="Nagwek2"/>
        <w:numPr>
          <w:ilvl w:val="1"/>
          <w:numId w:val="1"/>
        </w:numPr>
        <w:tabs>
          <w:tab w:val="left" w:pos="0"/>
        </w:tabs>
      </w:pPr>
      <w:r>
        <w:t>3.1. Ogólne wymagania dotyczące sprzętu</w:t>
      </w:r>
    </w:p>
    <w:p w:rsidR="00BF3126" w:rsidRDefault="00BF3126" w:rsidP="00BF3126">
      <w:r>
        <w:tab/>
        <w:t>Ogólne wymagania dotyczące sprzętu podano w OST D-M-00.00.00 „Wymagania ogólne” pkt 3.</w:t>
      </w:r>
    </w:p>
    <w:p w:rsidR="00BF3126" w:rsidRDefault="00BF3126" w:rsidP="00BF3126">
      <w:pPr>
        <w:pStyle w:val="Nagwek2"/>
        <w:numPr>
          <w:ilvl w:val="1"/>
          <w:numId w:val="1"/>
        </w:numPr>
        <w:tabs>
          <w:tab w:val="left" w:pos="0"/>
        </w:tabs>
      </w:pPr>
      <w:r>
        <w:lastRenderedPageBreak/>
        <w:t>3.2. Sprzęt do wykonania robót</w:t>
      </w:r>
    </w:p>
    <w:p w:rsidR="00BF3126" w:rsidRDefault="00BF3126" w:rsidP="00BF3126">
      <w:r>
        <w:tab/>
        <w:t>Wykonawca przystępujący do wykonania podbudowy z tłucznia kamiennego powinien wykazać się możliwością korzystania z następującego sprzętu:</w:t>
      </w:r>
    </w:p>
    <w:p w:rsidR="00BF3126" w:rsidRDefault="00BF3126" w:rsidP="00BF3126">
      <w:pPr>
        <w:numPr>
          <w:ilvl w:val="0"/>
          <w:numId w:val="3"/>
        </w:numPr>
        <w:tabs>
          <w:tab w:val="left" w:pos="283"/>
        </w:tabs>
      </w:pPr>
      <w:r>
        <w:t>równiarek lub układarek kruszywa do rozkładania tłucznia i klińca,</w:t>
      </w:r>
    </w:p>
    <w:p w:rsidR="00BF3126" w:rsidRDefault="00BF3126" w:rsidP="00BF3126">
      <w:pPr>
        <w:numPr>
          <w:ilvl w:val="0"/>
          <w:numId w:val="3"/>
        </w:numPr>
        <w:tabs>
          <w:tab w:val="left" w:pos="283"/>
        </w:tabs>
      </w:pPr>
      <w:proofErr w:type="spellStart"/>
      <w:r>
        <w:t>rozsypywarek</w:t>
      </w:r>
      <w:proofErr w:type="spellEnd"/>
      <w:r>
        <w:t xml:space="preserve"> kruszywa do rozłożenia klińca,</w:t>
      </w:r>
    </w:p>
    <w:p w:rsidR="00BF3126" w:rsidRDefault="00BF3126" w:rsidP="00BF3126">
      <w:pPr>
        <w:numPr>
          <w:ilvl w:val="0"/>
          <w:numId w:val="3"/>
        </w:numPr>
        <w:tabs>
          <w:tab w:val="left" w:pos="283"/>
        </w:tabs>
      </w:pPr>
      <w:r>
        <w:t>walców statycznych gładkich do zagęszczania kruszywa grubego,</w:t>
      </w:r>
    </w:p>
    <w:p w:rsidR="00BF3126" w:rsidRDefault="00BF3126" w:rsidP="00BF3126">
      <w:pPr>
        <w:numPr>
          <w:ilvl w:val="0"/>
          <w:numId w:val="3"/>
        </w:numPr>
        <w:tabs>
          <w:tab w:val="left" w:pos="283"/>
        </w:tabs>
      </w:pPr>
      <w:r>
        <w:t>walców wibracyjnych lub wibracyjnych zagęszczarek płytowych do klinowania kruszywa grubego klińcem,</w:t>
      </w:r>
    </w:p>
    <w:p w:rsidR="00BF3126" w:rsidRDefault="00BF3126" w:rsidP="00BF3126">
      <w:pPr>
        <w:numPr>
          <w:ilvl w:val="0"/>
          <w:numId w:val="3"/>
        </w:numPr>
        <w:tabs>
          <w:tab w:val="left" w:pos="283"/>
        </w:tabs>
      </w:pPr>
      <w:r>
        <w:t>szczotek mechanicznych do usunięcia nadmiaru klińca,</w:t>
      </w:r>
    </w:p>
    <w:p w:rsidR="00BF3126" w:rsidRDefault="00BF3126" w:rsidP="00BF3126">
      <w:pPr>
        <w:numPr>
          <w:ilvl w:val="0"/>
          <w:numId w:val="3"/>
        </w:numPr>
        <w:tabs>
          <w:tab w:val="left" w:pos="283"/>
        </w:tabs>
      </w:pPr>
      <w:r>
        <w:t>walców ogumionych lub stalowych gładkich do końcowego dogęszczenia,</w:t>
      </w:r>
    </w:p>
    <w:p w:rsidR="00BF3126" w:rsidRDefault="00BF3126" w:rsidP="00BF3126">
      <w:pPr>
        <w:numPr>
          <w:ilvl w:val="0"/>
          <w:numId w:val="3"/>
        </w:numPr>
        <w:tabs>
          <w:tab w:val="left" w:pos="283"/>
        </w:tabs>
      </w:pPr>
      <w:r>
        <w:t>przewoźnych zbiorników do wody zaopatrzonych w urządzenia do rozpryskiwania wody.</w:t>
      </w:r>
    </w:p>
    <w:p w:rsidR="00BF3126" w:rsidRDefault="00BF3126" w:rsidP="00BF3126">
      <w:pPr>
        <w:pStyle w:val="Nagwek1"/>
        <w:numPr>
          <w:ilvl w:val="0"/>
          <w:numId w:val="1"/>
        </w:numPr>
        <w:tabs>
          <w:tab w:val="left" w:pos="0"/>
        </w:tabs>
      </w:pPr>
      <w:r>
        <w:t>4. transport</w:t>
      </w:r>
    </w:p>
    <w:p w:rsidR="00BF3126" w:rsidRDefault="00BF3126" w:rsidP="00BF3126">
      <w:pPr>
        <w:pStyle w:val="Nagwek2"/>
        <w:numPr>
          <w:ilvl w:val="1"/>
          <w:numId w:val="1"/>
        </w:numPr>
        <w:tabs>
          <w:tab w:val="left" w:pos="0"/>
        </w:tabs>
        <w:rPr>
          <w:b w:val="0"/>
        </w:rPr>
      </w:pPr>
      <w:r>
        <w:t>4.1. Ogólne wymagania dotyczące transportu</w:t>
      </w:r>
    </w:p>
    <w:p w:rsidR="00BF3126" w:rsidRDefault="00BF3126" w:rsidP="00BF3126">
      <w:pPr>
        <w:pStyle w:val="Nagwek2"/>
        <w:numPr>
          <w:ilvl w:val="1"/>
          <w:numId w:val="1"/>
        </w:numPr>
        <w:tabs>
          <w:tab w:val="left" w:pos="0"/>
        </w:tabs>
      </w:pPr>
      <w:r>
        <w:rPr>
          <w:b w:val="0"/>
        </w:rPr>
        <w:tab/>
        <w:t>Ogólne wymagania dotyczące transportu podano w OST D-M-00.00.00 „Wymagania ogólne” pkt 4.</w:t>
      </w:r>
    </w:p>
    <w:p w:rsidR="00BF3126" w:rsidRDefault="00BF3126" w:rsidP="00BF3126">
      <w:pPr>
        <w:pStyle w:val="Nagwek2"/>
        <w:numPr>
          <w:ilvl w:val="1"/>
          <w:numId w:val="1"/>
        </w:numPr>
        <w:tabs>
          <w:tab w:val="left" w:pos="0"/>
        </w:tabs>
      </w:pPr>
      <w:r>
        <w:t>4.2. Transport kruszywa</w:t>
      </w:r>
    </w:p>
    <w:p w:rsidR="00BF3126" w:rsidRDefault="00BF3126" w:rsidP="00BF3126">
      <w:r>
        <w:tab/>
        <w:t>Kruszywa można przewozić dowolnymi środkami transportu w warunkach zabezpieczających je przed zanieczyszczeniem, zmieszaniem z innymi materiałami, nadmiernym wysuszeniem i zawilgoceniem.</w:t>
      </w:r>
    </w:p>
    <w:p w:rsidR="00BF3126" w:rsidRDefault="00BF3126" w:rsidP="00BF3126">
      <w:pPr>
        <w:pStyle w:val="Nagwek1"/>
        <w:numPr>
          <w:ilvl w:val="0"/>
          <w:numId w:val="1"/>
        </w:numPr>
        <w:tabs>
          <w:tab w:val="left" w:pos="0"/>
        </w:tabs>
      </w:pPr>
      <w:r>
        <w:t>5. wykonanie robót</w:t>
      </w:r>
    </w:p>
    <w:p w:rsidR="00BF3126" w:rsidRDefault="00BF3126" w:rsidP="00BF3126">
      <w:pPr>
        <w:pStyle w:val="Nagwek2"/>
        <w:numPr>
          <w:ilvl w:val="1"/>
          <w:numId w:val="1"/>
        </w:numPr>
        <w:tabs>
          <w:tab w:val="left" w:pos="0"/>
        </w:tabs>
      </w:pPr>
      <w:r>
        <w:t>5.1. Ogólne zasady wykonania robót</w:t>
      </w:r>
    </w:p>
    <w:p w:rsidR="00BF3126" w:rsidRDefault="00BF3126" w:rsidP="00BF3126">
      <w:r>
        <w:tab/>
        <w:t>Ogólne zasady wykonania robót podano w OST D-M-00.00.00 „Wymagania ogólne” pkt 5.</w:t>
      </w:r>
    </w:p>
    <w:p w:rsidR="00BF3126" w:rsidRDefault="00BF3126" w:rsidP="00BF3126">
      <w:pPr>
        <w:pStyle w:val="Nagwek2"/>
        <w:numPr>
          <w:ilvl w:val="1"/>
          <w:numId w:val="1"/>
        </w:numPr>
        <w:tabs>
          <w:tab w:val="left" w:pos="0"/>
        </w:tabs>
      </w:pPr>
      <w:r>
        <w:t>5.2. Przygotowanie podłoża</w:t>
      </w:r>
    </w:p>
    <w:p w:rsidR="00BF3126" w:rsidRDefault="00BF3126" w:rsidP="00BF3126">
      <w:r>
        <w:tab/>
        <w:t>Podłoże pod podbudowę tłuczniową powinno spełniać wymagania określone w OST D-04.01.01 „Koryto wraz z profilowaniem i zagęszczeniem podłoża”.</w:t>
      </w:r>
    </w:p>
    <w:p w:rsidR="00BF3126" w:rsidRDefault="00BF3126" w:rsidP="00BF3126">
      <w:r>
        <w:tab/>
        <w:t>Podbudowa tłuczniowa powinna być ułożona na podłożu zapewniającym nieprzenikanie drobnych cząstek gruntu do warstwy podbudowy. Na gruncie spoistym, pod podbudową tłuczniową powinna być ułożona warstwa odcinająca lub wykonane ulepszenie podłoża.</w:t>
      </w:r>
    </w:p>
    <w:p w:rsidR="00BF3126" w:rsidRDefault="00BF3126" w:rsidP="00BF3126">
      <w:r>
        <w:tab/>
        <w:t>W przypadku zastosowania pomiędzy warstwą podbudowy tłuczniowej a spoistym gruntem podłoża warstwy odcinającej albo odsączającej, powinien być spełniony warunek nieprzenikania cząstek drobnych, wyrażony wzorem:</w:t>
      </w:r>
    </w:p>
    <w:p w:rsidR="00BF3126" w:rsidRDefault="00BF3126" w:rsidP="00BF3126">
      <w:r>
        <w:tab/>
      </w:r>
      <w:r>
        <w:tab/>
      </w:r>
      <w:r>
        <w:tab/>
      </w:r>
      <w:r>
        <w:tab/>
      </w:r>
      <w:r>
        <w:rPr>
          <w:position w:val="-27"/>
        </w:rPr>
        <w:object w:dxaOrig="84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6.75pt" o:ole="" filled="t">
            <v:fill color2="black"/>
            <v:imagedata r:id="rId8" o:title=""/>
          </v:shape>
          <o:OLEObject Type="Embed" ProgID="Microsoft" ShapeID="_x0000_i1025" DrawAspect="Content" ObjectID="_1614758113" r:id="rId9"/>
        </w:object>
      </w:r>
    </w:p>
    <w:p w:rsidR="00BF3126" w:rsidRDefault="00BF3126" w:rsidP="00BF3126">
      <w:r>
        <w:t xml:space="preserve">gdzie: </w:t>
      </w:r>
      <w:r>
        <w:rPr>
          <w:i/>
        </w:rPr>
        <w:t>D</w:t>
      </w:r>
      <w:r>
        <w:rPr>
          <w:vertAlign w:val="subscript"/>
        </w:rPr>
        <w:t>15</w:t>
      </w:r>
      <w:r>
        <w:t xml:space="preserve"> - wymiar sita, przez które przechodzi 15% </w:t>
      </w:r>
      <w:proofErr w:type="spellStart"/>
      <w:r>
        <w:t>ziarn</w:t>
      </w:r>
      <w:proofErr w:type="spellEnd"/>
      <w:r>
        <w:t xml:space="preserve"> warstwy odcinającej albo</w:t>
      </w:r>
    </w:p>
    <w:p w:rsidR="00BF3126" w:rsidRDefault="00BF3126" w:rsidP="00BF3126">
      <w:r>
        <w:t xml:space="preserve">                    odsączającej,</w:t>
      </w:r>
    </w:p>
    <w:p w:rsidR="00BF3126" w:rsidRDefault="00BF3126" w:rsidP="00BF3126">
      <w:r>
        <w:t xml:space="preserve">      </w:t>
      </w:r>
      <w:r>
        <w:rPr>
          <w:i/>
        </w:rPr>
        <w:t>d</w:t>
      </w:r>
      <w:r>
        <w:rPr>
          <w:vertAlign w:val="subscript"/>
        </w:rPr>
        <w:t xml:space="preserve">85 </w:t>
      </w:r>
      <w:r>
        <w:t xml:space="preserve"> - wymiar sita, przez które przechodzi 85% </w:t>
      </w:r>
      <w:proofErr w:type="spellStart"/>
      <w:r>
        <w:t>ziarn</w:t>
      </w:r>
      <w:proofErr w:type="spellEnd"/>
      <w:r>
        <w:t xml:space="preserve"> gruntu podłoża.</w:t>
      </w:r>
    </w:p>
    <w:p w:rsidR="00BF3126" w:rsidRDefault="00BF3126" w:rsidP="00BF3126">
      <w:r>
        <w:tab/>
        <w:t>Geowłókniny przewidziane do użycia pod podbudowę tłuczniową powinny posiadać aprobatę techniczną wydaną przez uprawnioną jednostkę. W szczególności wymagana jest odpowiednia wytrzymałość mechaniczna geowłóknin, uniemożliwiająca ich przebicie ziarna tłucznia oraz odpowiednie właściwości filtracyjne, dostosowane do uziarnienia podłoża gruntowego.</w:t>
      </w:r>
    </w:p>
    <w:p w:rsidR="00BF3126" w:rsidRDefault="00BF3126" w:rsidP="00BF3126">
      <w:r>
        <w:tab/>
        <w:t>Podbudowa powinna być wytyczona w sposób umożliwiający jej wykonanie zgodnie z dokumentacją projektową lub według zaleceń Inżyniera, z tolerancjami określonymi w niniejszych specyfikacjach.</w:t>
      </w:r>
    </w:p>
    <w:p w:rsidR="00BF3126" w:rsidRDefault="00BF3126" w:rsidP="00BF3126">
      <w:r>
        <w:tab/>
        <w:t>Paliki lub szpilki do prawidłowego ukształtowania podbudowy powinny być wcześniej przygotowane.</w:t>
      </w:r>
    </w:p>
    <w:p w:rsidR="00BF3126" w:rsidRDefault="00BF3126" w:rsidP="00BF3126">
      <w:r>
        <w:tab/>
        <w:t>Paliki lub szpilki powinny być ustawione w osi drogi i w rzędach równoległych do osi drogi lub w inny sposób zaakceptowany przez Inżyniera.</w:t>
      </w:r>
    </w:p>
    <w:p w:rsidR="00BF3126" w:rsidRDefault="00BF3126" w:rsidP="00BF3126">
      <w:r>
        <w:tab/>
        <w:t>Rozmieszczenie palików lub szpilek powinno umożliwiać naciągnięcie sznurków lub linek do wytyczenia robót w odstępach nie większych niż co 10 m.</w:t>
      </w:r>
    </w:p>
    <w:p w:rsidR="00BF3126" w:rsidRDefault="00BF3126" w:rsidP="00BF3126">
      <w:pPr>
        <w:pStyle w:val="Nagwek2"/>
        <w:numPr>
          <w:ilvl w:val="1"/>
          <w:numId w:val="1"/>
        </w:numPr>
        <w:tabs>
          <w:tab w:val="left" w:pos="0"/>
        </w:tabs>
      </w:pPr>
      <w:r>
        <w:t>5.3. Wbudowywanie i zagęszczanie kruszywa</w:t>
      </w:r>
    </w:p>
    <w:p w:rsidR="00BF3126" w:rsidRDefault="00BF3126" w:rsidP="00BF3126">
      <w:r>
        <w:tab/>
        <w:t xml:space="preserve">Minimalna grubość warstwy podbudowy z tłucznia nie może być po zagęszczeniu mniejsza od 1,5-krotnego wymiaru największych </w:t>
      </w:r>
      <w:proofErr w:type="spellStart"/>
      <w:r>
        <w:t>ziarn</w:t>
      </w:r>
      <w:proofErr w:type="spellEnd"/>
      <w:r>
        <w:t xml:space="preserve"> tłucznia. Maksymalna grubość warstwy podbudowy po zagęszczeniu nie może przekraczać 20 cm. Podbudowę o grubości powyżej 20 cm należy wykonywać w dwóch warstwach.</w:t>
      </w:r>
    </w:p>
    <w:p w:rsidR="00BF3126" w:rsidRDefault="00BF3126" w:rsidP="00BF3126">
      <w:r>
        <w:tab/>
        <w:t>Kruszywo grube powinno być rozłożone w warstwie o jednakowej grubości, przy użyciu układarki albo równiarki. Grubość rozłożonej warstwy luźnego kruszywa powinna być taka, aby po jej zagęszczeniu i zaklinowaniu osiągnęła grubość projektowaną.</w:t>
      </w:r>
    </w:p>
    <w:p w:rsidR="00BF3126" w:rsidRDefault="00BF3126" w:rsidP="00BF3126">
      <w:r>
        <w:lastRenderedPageBreak/>
        <w:tab/>
        <w:t xml:space="preserve">Kruszywo grube po rozłożeniu powinno być przywałowane dwoma przejściami walca statycznego, gładkiego o nacisku jednostkowym nie mniejszym niż 30 </w:t>
      </w:r>
      <w:proofErr w:type="spellStart"/>
      <w:r>
        <w:t>kN</w:t>
      </w:r>
      <w:proofErr w:type="spellEnd"/>
      <w:r>
        <w:t>/m. Zagęszczanie podbudowy o przekroju daszkowym powinno rozpocząć się od krawędzi i stopniowo przesuwać się pasami podłużnymi, częściowo nakładającymi się w kierunku osi jezdni. Zagęszczenie podbudowy o jednostronnym spadku poprzecznym powinno rozpocząć się od dolnej krawędzi i przesuwać się pasami podłużnymi, częściowo nakładającymi się, w kierunku jej górnej krawędzi.</w:t>
      </w:r>
    </w:p>
    <w:p w:rsidR="00BF3126" w:rsidRDefault="00BF3126" w:rsidP="00BF3126">
      <w:r>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t>kN</w:t>
      </w:r>
      <w:proofErr w:type="spellEnd"/>
      <w:r>
        <w:t xml:space="preserve">/m, albo płytową zagęszczarką wibracyjną o nacisku jednostkowym co najmniej 16 </w:t>
      </w:r>
      <w:proofErr w:type="spellStart"/>
      <w:r>
        <w:t>kN</w:t>
      </w:r>
      <w:proofErr w:type="spellEnd"/>
      <w:r>
        <w:t>/m</w:t>
      </w:r>
      <w:r>
        <w:rPr>
          <w:vertAlign w:val="superscript"/>
        </w:rPr>
        <w:t>2</w:t>
      </w:r>
      <w:r>
        <w:t xml:space="preserve">. Grubość warstwy luźnego kruszywa drobnego powinna być taka, aby wszystkie przestrzenie warstwy kruszywa grubego zostały wypełnione kruszywem drobnym. Jeżeli to konieczne, operacje rozkładania i </w:t>
      </w:r>
      <w:proofErr w:type="spellStart"/>
      <w:r>
        <w:t>wwibrowywanie</w:t>
      </w:r>
      <w:proofErr w:type="spellEnd"/>
      <w:r>
        <w:t xml:space="preserve"> kruszywa drobnego należy powtarzać aż do chwili, gdy kruszywo drobne przestanie penetrować warstwę kruszywa grubego.</w:t>
      </w:r>
    </w:p>
    <w:p w:rsidR="00BF3126" w:rsidRDefault="00BF3126" w:rsidP="00BF3126">
      <w:r>
        <w:tab/>
        <w:t>Po zagęszczeniu cały nadmiar kruszywa drobnego należy usunąć z podbudowy szczotkami tak, aby ziarna kruszywa grubego wystawały nad powierzchnię od 3 do 6 mm.</w:t>
      </w:r>
    </w:p>
    <w:p w:rsidR="00BF3126" w:rsidRDefault="00BF3126" w:rsidP="00BF3126">
      <w:r>
        <w:tab/>
        <w:t xml:space="preserve">Następnie warstwa powinna być przywałowana walcem statycznym gładkim o nacisku jednostkowym nie mniejszym niż 50 </w:t>
      </w:r>
      <w:proofErr w:type="spellStart"/>
      <w:r>
        <w:t>kN</w:t>
      </w:r>
      <w:proofErr w:type="spellEnd"/>
      <w:r>
        <w:t>/m, albo walcem ogumionym w celu dogęszczenia kruszywa poluzowanego w czasie szczotkowania.</w:t>
      </w:r>
    </w:p>
    <w:p w:rsidR="00BF3126" w:rsidRDefault="00BF3126" w:rsidP="00BF3126">
      <w:pPr>
        <w:pStyle w:val="Nagwek2"/>
        <w:numPr>
          <w:ilvl w:val="1"/>
          <w:numId w:val="1"/>
        </w:numPr>
        <w:tabs>
          <w:tab w:val="left" w:pos="0"/>
        </w:tabs>
      </w:pPr>
      <w:r>
        <w:t>5.4. Odcinek próbny</w:t>
      </w:r>
    </w:p>
    <w:p w:rsidR="00BF3126" w:rsidRDefault="00BF3126" w:rsidP="00BF3126">
      <w:pPr>
        <w:pStyle w:val="tekstost"/>
      </w:pPr>
      <w:r>
        <w:tab/>
        <w:t>Jeżeli w SST przewidziano konieczność wykonania odcinka próbnego, to co najmniej na 3 dni przed rozpoczęciem robót, Wykonawca powinien wykonać odcinek próbny w celu:</w:t>
      </w:r>
    </w:p>
    <w:p w:rsidR="00BF3126" w:rsidRDefault="00BF3126" w:rsidP="00BF3126">
      <w:pPr>
        <w:pStyle w:val="tekstost"/>
        <w:numPr>
          <w:ilvl w:val="0"/>
          <w:numId w:val="2"/>
        </w:numPr>
        <w:tabs>
          <w:tab w:val="left" w:pos="283"/>
        </w:tabs>
      </w:pPr>
      <w:r>
        <w:t>stwierdzenia czy sprzęt budowlany do rozkładania i zagęszczania kruszywa jest właściwy,</w:t>
      </w:r>
    </w:p>
    <w:p w:rsidR="00BF3126" w:rsidRDefault="00BF3126" w:rsidP="00BF3126">
      <w:pPr>
        <w:pStyle w:val="tekstost"/>
        <w:numPr>
          <w:ilvl w:val="0"/>
          <w:numId w:val="2"/>
        </w:numPr>
        <w:tabs>
          <w:tab w:val="left" w:pos="283"/>
        </w:tabs>
      </w:pPr>
      <w:r>
        <w:t>określenia grubości warstwy materiału w stanie luźnym koniecznej do uzyskania wymaganej grubości warstwy po zagęszczeniu,</w:t>
      </w:r>
    </w:p>
    <w:p w:rsidR="00BF3126" w:rsidRDefault="00BF3126" w:rsidP="00BF3126">
      <w:pPr>
        <w:pStyle w:val="tekstost"/>
        <w:numPr>
          <w:ilvl w:val="0"/>
          <w:numId w:val="2"/>
        </w:numPr>
        <w:tabs>
          <w:tab w:val="left" w:pos="283"/>
        </w:tabs>
      </w:pPr>
      <w:r>
        <w:t>ustalenia liczby przejść sprzętu zagęszczającego, potrzebnej do uzyskania wymaganego wskaźnika zagęszczenia.</w:t>
      </w:r>
    </w:p>
    <w:p w:rsidR="00BF3126" w:rsidRDefault="00BF3126" w:rsidP="00BF3126">
      <w:pPr>
        <w:pStyle w:val="tekstost"/>
      </w:pPr>
      <w:r>
        <w:tab/>
        <w:t>Na odcinku próbnym Wykonawca powinien użyć takich materiałów oraz sprzętu do rozkładania i zagęszczania,  jakie będą stosowane do wykonania podbudowy.</w:t>
      </w:r>
    </w:p>
    <w:p w:rsidR="00BF3126" w:rsidRDefault="00BF3126" w:rsidP="00BF3126">
      <w:pPr>
        <w:pStyle w:val="tekstost"/>
      </w:pPr>
      <w:r>
        <w:tab/>
        <w:t>Powierzchnia odcinka próbnego powinna wynosić od 400 m</w:t>
      </w:r>
      <w:r>
        <w:rPr>
          <w:vertAlign w:val="superscript"/>
        </w:rPr>
        <w:t>2</w:t>
      </w:r>
      <w:r>
        <w:t xml:space="preserve"> do 800 m</w:t>
      </w:r>
      <w:r>
        <w:rPr>
          <w:vertAlign w:val="superscript"/>
        </w:rPr>
        <w:t>2</w:t>
      </w:r>
      <w:r>
        <w:t>, a długość nie powinna być mniejsza niż 200 m.</w:t>
      </w:r>
    </w:p>
    <w:p w:rsidR="00BF3126" w:rsidRDefault="00BF3126" w:rsidP="00BF3126">
      <w:pPr>
        <w:pStyle w:val="tekstost"/>
      </w:pPr>
      <w:r>
        <w:tab/>
        <w:t>Odcinek próbny powinien być zlokalizowany w miejscu wskazanym przez Inżyniera.</w:t>
      </w:r>
    </w:p>
    <w:p w:rsidR="00BF3126" w:rsidRDefault="00BF3126" w:rsidP="00BF3126">
      <w:r>
        <w:tab/>
        <w:t>Wykonawca może przystąpić do wykonywania podbudowy po zaakceptowaniu odcinka próbnego przez Inżyniera.</w:t>
      </w:r>
      <w:r>
        <w:tab/>
      </w:r>
    </w:p>
    <w:p w:rsidR="00BF3126" w:rsidRDefault="00BF3126" w:rsidP="00BF3126">
      <w:pPr>
        <w:pStyle w:val="Nagwek2"/>
        <w:numPr>
          <w:ilvl w:val="1"/>
          <w:numId w:val="1"/>
        </w:numPr>
        <w:tabs>
          <w:tab w:val="left" w:pos="0"/>
        </w:tabs>
      </w:pPr>
      <w:r>
        <w:t>5.5. Utrzymanie podbudowy</w:t>
      </w:r>
    </w:p>
    <w:p w:rsidR="00BF3126" w:rsidRDefault="00BF3126" w:rsidP="00BF3126">
      <w:r>
        <w:tab/>
        <w:t>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w:t>
      </w:r>
    </w:p>
    <w:p w:rsidR="00BF3126" w:rsidRDefault="00BF3126" w:rsidP="00BF3126">
      <w:pPr>
        <w:pStyle w:val="Nagwek1"/>
        <w:numPr>
          <w:ilvl w:val="0"/>
          <w:numId w:val="1"/>
        </w:numPr>
        <w:tabs>
          <w:tab w:val="left" w:pos="0"/>
        </w:tabs>
      </w:pPr>
      <w:r>
        <w:t>6. kontrola jakości robót</w:t>
      </w:r>
    </w:p>
    <w:p w:rsidR="00BF3126" w:rsidRDefault="00BF3126" w:rsidP="00BF3126">
      <w:pPr>
        <w:pStyle w:val="Nagwek2"/>
        <w:numPr>
          <w:ilvl w:val="1"/>
          <w:numId w:val="1"/>
        </w:numPr>
        <w:tabs>
          <w:tab w:val="left" w:pos="0"/>
        </w:tabs>
      </w:pPr>
      <w:r>
        <w:t>6.1. Ogólne zasady kontroli jakości robót</w:t>
      </w:r>
    </w:p>
    <w:p w:rsidR="00BF3126" w:rsidRDefault="00BF3126" w:rsidP="00BF3126">
      <w:r>
        <w:tab/>
        <w:t>Ogólne zasady kontroli jakości robót podano w OST D-M-00.00.00 „Wymagania ogólne” pkt 6.</w:t>
      </w:r>
    </w:p>
    <w:p w:rsidR="00BF3126" w:rsidRDefault="00BF3126" w:rsidP="00BF3126">
      <w:pPr>
        <w:pStyle w:val="Nagwek2"/>
        <w:numPr>
          <w:ilvl w:val="1"/>
          <w:numId w:val="1"/>
        </w:numPr>
        <w:tabs>
          <w:tab w:val="left" w:pos="0"/>
        </w:tabs>
      </w:pPr>
      <w:r>
        <w:t>6.2. Badania przed przystąpieniem do robót</w:t>
      </w:r>
    </w:p>
    <w:p w:rsidR="00BF3126" w:rsidRDefault="00BF3126" w:rsidP="00BF3126">
      <w:r>
        <w:tab/>
        <w:t>Przed przystąpieniem do robót Wykonawca powinien wykonać badania kruszyw przeznaczonych do wykonania robót i przedstawić wyniki tych badań Inżynierowi w celu akceptacji.</w:t>
      </w:r>
    </w:p>
    <w:p w:rsidR="00BF3126" w:rsidRDefault="00BF3126" w:rsidP="00BF3126">
      <w:r>
        <w:tab/>
        <w:t>Badania te powinny obejmować wszystkie właściwości kruszywa określone w            pkt 2.3 i tablicach 1 i 2 niniejszych OST.</w:t>
      </w:r>
    </w:p>
    <w:p w:rsidR="00BF3126" w:rsidRDefault="00BF3126" w:rsidP="00BF3126">
      <w:pPr>
        <w:pStyle w:val="Nagwek2"/>
        <w:numPr>
          <w:ilvl w:val="1"/>
          <w:numId w:val="1"/>
        </w:numPr>
        <w:tabs>
          <w:tab w:val="left" w:pos="0"/>
        </w:tabs>
      </w:pPr>
      <w:r>
        <w:t>6.3. Badania w czasie robót</w:t>
      </w:r>
    </w:p>
    <w:p w:rsidR="00BF3126" w:rsidRDefault="00BF3126" w:rsidP="00BF3126">
      <w:r>
        <w:rPr>
          <w:b/>
        </w:rPr>
        <w:t xml:space="preserve">6.3.1. </w:t>
      </w:r>
      <w:r>
        <w:t>Częstotliwość oraz zakres badań i pomiarów</w:t>
      </w:r>
    </w:p>
    <w:p w:rsidR="00BF3126" w:rsidRDefault="00BF3126" w:rsidP="00BF3126">
      <w:pPr>
        <w:spacing w:before="120"/>
      </w:pPr>
      <w:r>
        <w:tab/>
        <w:t>Częstotliwość oraz zakres badań podano w tablicy 3.</w:t>
      </w:r>
    </w:p>
    <w:p w:rsidR="00BF3126" w:rsidRDefault="00BF3126" w:rsidP="00BF3126"/>
    <w:p w:rsidR="00BF3126" w:rsidRDefault="00BF3126" w:rsidP="00BF3126">
      <w:pPr>
        <w:spacing w:after="120"/>
      </w:pPr>
      <w:r>
        <w:t>Tablica 3.Częstotliwość oraz zakres badań przy budowie podbudowy z tłucznia kamiennego</w:t>
      </w:r>
    </w:p>
    <w:tbl>
      <w:tblPr>
        <w:tblW w:w="0" w:type="auto"/>
        <w:tblInd w:w="-12" w:type="dxa"/>
        <w:tblLayout w:type="fixed"/>
        <w:tblCellMar>
          <w:left w:w="70" w:type="dxa"/>
          <w:right w:w="70" w:type="dxa"/>
        </w:tblCellMar>
        <w:tblLook w:val="04A0" w:firstRow="1" w:lastRow="0" w:firstColumn="1" w:lastColumn="0" w:noHBand="0" w:noVBand="1"/>
      </w:tblPr>
      <w:tblGrid>
        <w:gridCol w:w="496"/>
        <w:gridCol w:w="4252"/>
        <w:gridCol w:w="1380"/>
        <w:gridCol w:w="1407"/>
      </w:tblGrid>
      <w:tr w:rsidR="00BF3126" w:rsidTr="00BF3126">
        <w:tc>
          <w:tcPr>
            <w:tcW w:w="496" w:type="dxa"/>
            <w:tcBorders>
              <w:top w:val="single" w:sz="4" w:space="0" w:color="000000"/>
              <w:left w:val="single" w:sz="4" w:space="0" w:color="000000"/>
              <w:bottom w:val="nil"/>
              <w:right w:val="nil"/>
            </w:tcBorders>
          </w:tcPr>
          <w:p w:rsidR="00BF3126" w:rsidRDefault="00BF3126">
            <w:pPr>
              <w:snapToGrid w:val="0"/>
              <w:jc w:val="center"/>
            </w:pPr>
          </w:p>
        </w:tc>
        <w:tc>
          <w:tcPr>
            <w:tcW w:w="4252" w:type="dxa"/>
            <w:tcBorders>
              <w:top w:val="single" w:sz="4" w:space="0" w:color="000000"/>
              <w:left w:val="single" w:sz="4" w:space="0" w:color="000000"/>
              <w:bottom w:val="nil"/>
              <w:right w:val="nil"/>
            </w:tcBorders>
          </w:tcPr>
          <w:p w:rsidR="00BF3126" w:rsidRDefault="00BF3126">
            <w:pPr>
              <w:snapToGrid w:val="0"/>
            </w:pPr>
          </w:p>
        </w:tc>
        <w:tc>
          <w:tcPr>
            <w:tcW w:w="2787" w:type="dxa"/>
            <w:gridSpan w:val="2"/>
            <w:tcBorders>
              <w:top w:val="single" w:sz="4" w:space="0" w:color="000000"/>
              <w:left w:val="single" w:sz="4" w:space="0" w:color="000000"/>
              <w:bottom w:val="single" w:sz="4" w:space="0" w:color="000000"/>
              <w:right w:val="single" w:sz="4" w:space="0" w:color="000000"/>
            </w:tcBorders>
            <w:hideMark/>
          </w:tcPr>
          <w:p w:rsidR="00BF3126" w:rsidRDefault="00BF3126">
            <w:pPr>
              <w:snapToGrid w:val="0"/>
              <w:jc w:val="center"/>
            </w:pPr>
            <w:r>
              <w:t>Częstotliwość badań</w:t>
            </w:r>
          </w:p>
        </w:tc>
      </w:tr>
      <w:tr w:rsidR="00BF3126" w:rsidTr="00BF3126">
        <w:tc>
          <w:tcPr>
            <w:tcW w:w="496" w:type="dxa"/>
            <w:tcBorders>
              <w:top w:val="nil"/>
              <w:left w:val="single" w:sz="4" w:space="0" w:color="000000"/>
              <w:bottom w:val="double" w:sz="2" w:space="0" w:color="000000"/>
              <w:right w:val="nil"/>
            </w:tcBorders>
            <w:hideMark/>
          </w:tcPr>
          <w:p w:rsidR="00BF3126" w:rsidRDefault="00BF3126">
            <w:pPr>
              <w:snapToGrid w:val="0"/>
              <w:spacing w:before="60"/>
              <w:jc w:val="center"/>
            </w:pPr>
            <w:r>
              <w:lastRenderedPageBreak/>
              <w:t>Lp.</w:t>
            </w:r>
          </w:p>
        </w:tc>
        <w:tc>
          <w:tcPr>
            <w:tcW w:w="4252" w:type="dxa"/>
            <w:tcBorders>
              <w:top w:val="nil"/>
              <w:left w:val="single" w:sz="4" w:space="0" w:color="000000"/>
              <w:bottom w:val="double" w:sz="2" w:space="0" w:color="000000"/>
              <w:right w:val="nil"/>
            </w:tcBorders>
            <w:hideMark/>
          </w:tcPr>
          <w:p w:rsidR="00BF3126" w:rsidRDefault="00BF3126">
            <w:pPr>
              <w:snapToGrid w:val="0"/>
              <w:spacing w:before="60"/>
              <w:jc w:val="center"/>
              <w:rPr>
                <w:sz w:val="16"/>
              </w:rPr>
            </w:pPr>
            <w:r>
              <w:t>Wyszczególnienie badań</w:t>
            </w:r>
          </w:p>
        </w:tc>
        <w:tc>
          <w:tcPr>
            <w:tcW w:w="1380" w:type="dxa"/>
            <w:tcBorders>
              <w:top w:val="nil"/>
              <w:left w:val="single" w:sz="4" w:space="0" w:color="000000"/>
              <w:bottom w:val="double" w:sz="2" w:space="0" w:color="000000"/>
              <w:right w:val="nil"/>
            </w:tcBorders>
            <w:hideMark/>
          </w:tcPr>
          <w:p w:rsidR="00BF3126" w:rsidRDefault="00BF3126">
            <w:pPr>
              <w:snapToGrid w:val="0"/>
              <w:spacing w:before="120"/>
              <w:jc w:val="center"/>
              <w:rPr>
                <w:sz w:val="16"/>
              </w:rPr>
            </w:pPr>
            <w:r>
              <w:rPr>
                <w:sz w:val="16"/>
              </w:rPr>
              <w:t>Minimalne ilości badań na dziennej działce roboczej</w:t>
            </w:r>
          </w:p>
        </w:tc>
        <w:tc>
          <w:tcPr>
            <w:tcW w:w="1407" w:type="dxa"/>
            <w:tcBorders>
              <w:top w:val="nil"/>
              <w:left w:val="single" w:sz="4" w:space="0" w:color="000000"/>
              <w:bottom w:val="double" w:sz="2" w:space="0" w:color="000000"/>
              <w:right w:val="single" w:sz="4" w:space="0" w:color="000000"/>
            </w:tcBorders>
            <w:hideMark/>
          </w:tcPr>
          <w:p w:rsidR="00BF3126" w:rsidRDefault="00BF3126">
            <w:pPr>
              <w:snapToGrid w:val="0"/>
              <w:jc w:val="center"/>
              <w:rPr>
                <w:sz w:val="16"/>
              </w:rPr>
            </w:pPr>
            <w:r>
              <w:rPr>
                <w:sz w:val="16"/>
              </w:rPr>
              <w:t>Maksymalna po-</w:t>
            </w:r>
          </w:p>
          <w:p w:rsidR="00BF3126" w:rsidRDefault="00BF3126">
            <w:pPr>
              <w:jc w:val="center"/>
              <w:rPr>
                <w:sz w:val="16"/>
              </w:rPr>
            </w:pPr>
            <w:r>
              <w:rPr>
                <w:sz w:val="16"/>
              </w:rPr>
              <w:t xml:space="preserve">wierzchnia </w:t>
            </w:r>
            <w:proofErr w:type="spellStart"/>
            <w:r>
              <w:rPr>
                <w:sz w:val="16"/>
              </w:rPr>
              <w:t>podbu</w:t>
            </w:r>
            <w:proofErr w:type="spellEnd"/>
            <w:r>
              <w:rPr>
                <w:sz w:val="16"/>
              </w:rPr>
              <w:t>-</w:t>
            </w:r>
          </w:p>
          <w:p w:rsidR="00BF3126" w:rsidRDefault="00BF3126">
            <w:pPr>
              <w:jc w:val="center"/>
            </w:pPr>
            <w:proofErr w:type="spellStart"/>
            <w:r>
              <w:rPr>
                <w:sz w:val="16"/>
              </w:rPr>
              <w:t>dowy</w:t>
            </w:r>
            <w:proofErr w:type="spellEnd"/>
            <w:r>
              <w:rPr>
                <w:sz w:val="16"/>
              </w:rPr>
              <w:t xml:space="preserve"> na jedno badanie (m</w:t>
            </w:r>
            <w:r>
              <w:rPr>
                <w:sz w:val="16"/>
                <w:vertAlign w:val="superscript"/>
              </w:rPr>
              <w:t>2</w:t>
            </w:r>
            <w:r>
              <w:rPr>
                <w:sz w:val="16"/>
              </w:rPr>
              <w:t>)</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spacing w:before="60"/>
              <w:jc w:val="center"/>
            </w:pPr>
            <w:r>
              <w:t>1</w:t>
            </w:r>
          </w:p>
          <w:p w:rsidR="00BF3126" w:rsidRDefault="00BF3126">
            <w:pPr>
              <w:jc w:val="center"/>
            </w:pPr>
            <w:r>
              <w:t>2</w:t>
            </w:r>
          </w:p>
          <w:p w:rsidR="00BF3126" w:rsidRDefault="00BF3126">
            <w:pPr>
              <w:jc w:val="center"/>
            </w:pPr>
            <w:r>
              <w:t>3</w:t>
            </w:r>
          </w:p>
        </w:tc>
        <w:tc>
          <w:tcPr>
            <w:tcW w:w="4252" w:type="dxa"/>
            <w:tcBorders>
              <w:top w:val="nil"/>
              <w:left w:val="single" w:sz="4" w:space="0" w:color="000000"/>
              <w:bottom w:val="single" w:sz="4" w:space="0" w:color="000000"/>
              <w:right w:val="nil"/>
            </w:tcBorders>
            <w:hideMark/>
          </w:tcPr>
          <w:p w:rsidR="00BF3126" w:rsidRDefault="00BF3126">
            <w:pPr>
              <w:snapToGrid w:val="0"/>
              <w:spacing w:before="60"/>
            </w:pPr>
            <w:r>
              <w:t>Uziarnienie kruszyw</w:t>
            </w:r>
          </w:p>
          <w:p w:rsidR="00BF3126" w:rsidRDefault="00BF3126">
            <w:r>
              <w:t>Zawartość zanieczyszczeń obcych w kruszywie</w:t>
            </w:r>
          </w:p>
          <w:p w:rsidR="00BF3126" w:rsidRDefault="00BF3126">
            <w:pPr>
              <w:spacing w:after="60"/>
            </w:pPr>
            <w:r>
              <w:t xml:space="preserve">Zawartość </w:t>
            </w:r>
            <w:proofErr w:type="spellStart"/>
            <w:r>
              <w:t>ziarn</w:t>
            </w:r>
            <w:proofErr w:type="spellEnd"/>
            <w:r>
              <w:t xml:space="preserve"> nieforemnych w kruszywie</w:t>
            </w:r>
          </w:p>
        </w:tc>
        <w:tc>
          <w:tcPr>
            <w:tcW w:w="1380" w:type="dxa"/>
            <w:tcBorders>
              <w:top w:val="nil"/>
              <w:left w:val="single" w:sz="4" w:space="0" w:color="000000"/>
              <w:bottom w:val="single" w:sz="4" w:space="0" w:color="000000"/>
              <w:right w:val="nil"/>
            </w:tcBorders>
          </w:tcPr>
          <w:p w:rsidR="00BF3126" w:rsidRDefault="00BF3126">
            <w:pPr>
              <w:snapToGrid w:val="0"/>
              <w:jc w:val="center"/>
            </w:pPr>
          </w:p>
          <w:p w:rsidR="00BF3126" w:rsidRDefault="00BF3126">
            <w:pPr>
              <w:spacing w:before="60"/>
              <w:jc w:val="center"/>
            </w:pPr>
            <w:r>
              <w:t>2</w:t>
            </w:r>
          </w:p>
        </w:tc>
        <w:tc>
          <w:tcPr>
            <w:tcW w:w="1407" w:type="dxa"/>
            <w:tcBorders>
              <w:top w:val="nil"/>
              <w:left w:val="single" w:sz="4" w:space="0" w:color="000000"/>
              <w:bottom w:val="single" w:sz="4" w:space="0" w:color="000000"/>
              <w:right w:val="single" w:sz="4" w:space="0" w:color="000000"/>
            </w:tcBorders>
          </w:tcPr>
          <w:p w:rsidR="00BF3126" w:rsidRDefault="00BF3126">
            <w:pPr>
              <w:snapToGrid w:val="0"/>
              <w:jc w:val="center"/>
            </w:pPr>
          </w:p>
          <w:p w:rsidR="00BF3126" w:rsidRDefault="00BF3126">
            <w:pPr>
              <w:spacing w:before="60"/>
              <w:jc w:val="center"/>
            </w:pPr>
            <w:r>
              <w:t>600</w:t>
            </w:r>
          </w:p>
        </w:tc>
      </w:tr>
      <w:tr w:rsidR="00BF3126" w:rsidTr="00BF3126">
        <w:tc>
          <w:tcPr>
            <w:tcW w:w="496" w:type="dxa"/>
            <w:tcBorders>
              <w:top w:val="nil"/>
              <w:left w:val="single" w:sz="4" w:space="0" w:color="000000"/>
              <w:bottom w:val="single" w:sz="4" w:space="0" w:color="000000"/>
              <w:right w:val="nil"/>
            </w:tcBorders>
            <w:hideMark/>
          </w:tcPr>
          <w:p w:rsidR="00BF3126" w:rsidRDefault="00BF3126">
            <w:pPr>
              <w:snapToGrid w:val="0"/>
              <w:spacing w:before="60"/>
              <w:jc w:val="center"/>
            </w:pPr>
            <w:r>
              <w:t>4</w:t>
            </w:r>
          </w:p>
          <w:p w:rsidR="00BF3126" w:rsidRDefault="00BF3126">
            <w:pPr>
              <w:jc w:val="center"/>
            </w:pPr>
            <w:r>
              <w:t>5</w:t>
            </w:r>
          </w:p>
          <w:p w:rsidR="00BF3126" w:rsidRDefault="00BF3126">
            <w:pPr>
              <w:jc w:val="center"/>
            </w:pPr>
            <w:r>
              <w:t>6</w:t>
            </w:r>
          </w:p>
          <w:p w:rsidR="00BF3126" w:rsidRDefault="00BF3126">
            <w:pPr>
              <w:jc w:val="center"/>
            </w:pPr>
            <w:r>
              <w:t>7</w:t>
            </w:r>
          </w:p>
        </w:tc>
        <w:tc>
          <w:tcPr>
            <w:tcW w:w="4252" w:type="dxa"/>
            <w:tcBorders>
              <w:top w:val="nil"/>
              <w:left w:val="single" w:sz="4" w:space="0" w:color="000000"/>
              <w:bottom w:val="single" w:sz="4" w:space="0" w:color="000000"/>
              <w:right w:val="nil"/>
            </w:tcBorders>
            <w:hideMark/>
          </w:tcPr>
          <w:p w:rsidR="00BF3126" w:rsidRDefault="00BF3126">
            <w:pPr>
              <w:snapToGrid w:val="0"/>
              <w:spacing w:before="60"/>
            </w:pPr>
            <w:r>
              <w:t>Ścieralność kruszywa</w:t>
            </w:r>
          </w:p>
          <w:p w:rsidR="00BF3126" w:rsidRDefault="00BF3126">
            <w:r>
              <w:t>Nasiąkliwość kruszywa</w:t>
            </w:r>
          </w:p>
          <w:p w:rsidR="00BF3126" w:rsidRDefault="00BF3126">
            <w:r>
              <w:t>Odporność kruszywa na działanie mrozu</w:t>
            </w:r>
          </w:p>
          <w:p w:rsidR="00BF3126" w:rsidRDefault="00BF3126">
            <w:pPr>
              <w:spacing w:after="60"/>
            </w:pPr>
            <w:r>
              <w:t>Zawartość zanieczyszczeń organicznych</w:t>
            </w:r>
          </w:p>
        </w:tc>
        <w:tc>
          <w:tcPr>
            <w:tcW w:w="2787" w:type="dxa"/>
            <w:gridSpan w:val="2"/>
            <w:tcBorders>
              <w:top w:val="nil"/>
              <w:left w:val="single" w:sz="4" w:space="0" w:color="000000"/>
              <w:bottom w:val="single" w:sz="4" w:space="0" w:color="000000"/>
              <w:right w:val="single" w:sz="4" w:space="0" w:color="000000"/>
            </w:tcBorders>
            <w:hideMark/>
          </w:tcPr>
          <w:p w:rsidR="00BF3126" w:rsidRDefault="00BF3126">
            <w:pPr>
              <w:snapToGrid w:val="0"/>
              <w:spacing w:before="180"/>
              <w:jc w:val="center"/>
            </w:pPr>
            <w:r>
              <w:t>6000</w:t>
            </w:r>
          </w:p>
          <w:p w:rsidR="00BF3126" w:rsidRDefault="00BF3126">
            <w:pPr>
              <w:jc w:val="center"/>
            </w:pPr>
            <w:r>
              <w:t>i przy każdej zmianie źródła pobierania materiałów</w:t>
            </w:r>
          </w:p>
        </w:tc>
      </w:tr>
    </w:tbl>
    <w:p w:rsidR="00BF3126" w:rsidRDefault="00BF3126" w:rsidP="00BF3126"/>
    <w:p w:rsidR="00BF3126" w:rsidRDefault="00BF3126" w:rsidP="00BF3126">
      <w:r>
        <w:rPr>
          <w:b/>
        </w:rPr>
        <w:t xml:space="preserve">6.3.2. </w:t>
      </w:r>
      <w:r>
        <w:t>Badania właściwości kruszywa</w:t>
      </w:r>
    </w:p>
    <w:p w:rsidR="00BF3126" w:rsidRDefault="00BF3126" w:rsidP="00BF3126">
      <w:pPr>
        <w:spacing w:before="120"/>
      </w:pPr>
      <w:r>
        <w:tab/>
        <w:t>Próbki należy pobierać w sposób losowy z rozłożonej warstwy, przed jej zagęszczeniem. Wyniki badań powinny być na bieżąco przekazywane Inżynierowi.</w:t>
      </w:r>
    </w:p>
    <w:p w:rsidR="00BF3126" w:rsidRDefault="00BF3126" w:rsidP="00BF3126">
      <w:r>
        <w:tab/>
        <w:t>Badania pełne kruszywa, obejmujące ocenę wszystkich właściwości określonych w pkt 2.3 powinny być wykonywane przez Wykonawcę z częstotliwością gwarantującą zachowanie jakości robót i zawsze w przypadku zmiany źródła pobierania materiałów oraz na polecenie Inżyniera. Próbki do badań pełnych powinny być pobierane przez Wykonawcę w sposób losowy, w obecności Inżyniera.</w:t>
      </w:r>
    </w:p>
    <w:p w:rsidR="00BF3126" w:rsidRDefault="00BF3126" w:rsidP="00BF3126">
      <w:pPr>
        <w:pStyle w:val="Nagwek2"/>
        <w:numPr>
          <w:ilvl w:val="1"/>
          <w:numId w:val="1"/>
        </w:numPr>
        <w:tabs>
          <w:tab w:val="left" w:pos="0"/>
        </w:tabs>
      </w:pPr>
      <w:r>
        <w:t>6.4. Wymagania dotyczące nośności i cech geometrycznych podbudowy</w:t>
      </w:r>
    </w:p>
    <w:p w:rsidR="00BF3126" w:rsidRDefault="00BF3126" w:rsidP="00BF3126">
      <w:r>
        <w:rPr>
          <w:b/>
        </w:rPr>
        <w:t xml:space="preserve">6.4.1. </w:t>
      </w:r>
      <w:r>
        <w:t>Częstotliwość oraz zakres pomiarów</w:t>
      </w:r>
    </w:p>
    <w:p w:rsidR="00BF3126" w:rsidRDefault="00BF3126" w:rsidP="00BF3126">
      <w:pPr>
        <w:spacing w:before="120"/>
      </w:pPr>
      <w:r>
        <w:tab/>
        <w:t xml:space="preserve"> Częstotliwość oraz zakres pomiarów podano w tablicy 4.</w:t>
      </w:r>
    </w:p>
    <w:p w:rsidR="00BF3126" w:rsidRDefault="00BF3126" w:rsidP="00BF3126">
      <w:pPr>
        <w:spacing w:before="120"/>
      </w:pPr>
      <w:r>
        <w:t>Tablica 4. Częstotliwość oraz zakres pomiarów wykonanej podbudowy z tłucznia</w:t>
      </w:r>
    </w:p>
    <w:p w:rsidR="00BF3126" w:rsidRDefault="00BF3126" w:rsidP="00BF3126">
      <w:pPr>
        <w:spacing w:after="120"/>
      </w:pPr>
      <w:r>
        <w:tab/>
        <w:t xml:space="preserve">   kamiennego</w:t>
      </w:r>
    </w:p>
    <w:tbl>
      <w:tblPr>
        <w:tblW w:w="0" w:type="auto"/>
        <w:tblInd w:w="-12" w:type="dxa"/>
        <w:tblLayout w:type="fixed"/>
        <w:tblCellMar>
          <w:left w:w="70" w:type="dxa"/>
          <w:right w:w="70" w:type="dxa"/>
        </w:tblCellMar>
        <w:tblLook w:val="04A0" w:firstRow="1" w:lastRow="0" w:firstColumn="1" w:lastColumn="0" w:noHBand="0" w:noVBand="1"/>
      </w:tblPr>
      <w:tblGrid>
        <w:gridCol w:w="790"/>
        <w:gridCol w:w="3675"/>
        <w:gridCol w:w="3143"/>
      </w:tblGrid>
      <w:tr w:rsidR="00BF3126" w:rsidTr="00BF3126">
        <w:tc>
          <w:tcPr>
            <w:tcW w:w="790" w:type="dxa"/>
            <w:tcBorders>
              <w:top w:val="single" w:sz="4" w:space="0" w:color="000000"/>
              <w:left w:val="single" w:sz="4" w:space="0" w:color="000000"/>
              <w:bottom w:val="double" w:sz="2" w:space="0" w:color="000000"/>
              <w:right w:val="nil"/>
            </w:tcBorders>
            <w:hideMark/>
          </w:tcPr>
          <w:p w:rsidR="00BF3126" w:rsidRDefault="00BF3126">
            <w:pPr>
              <w:snapToGrid w:val="0"/>
              <w:spacing w:before="60" w:after="60"/>
              <w:ind w:right="-11"/>
              <w:jc w:val="center"/>
            </w:pPr>
            <w:r>
              <w:t>Lp.</w:t>
            </w:r>
          </w:p>
        </w:tc>
        <w:tc>
          <w:tcPr>
            <w:tcW w:w="3675" w:type="dxa"/>
            <w:tcBorders>
              <w:top w:val="single" w:sz="4" w:space="0" w:color="000000"/>
              <w:left w:val="single" w:sz="4" w:space="0" w:color="000000"/>
              <w:bottom w:val="double" w:sz="2" w:space="0" w:color="000000"/>
              <w:right w:val="nil"/>
            </w:tcBorders>
            <w:hideMark/>
          </w:tcPr>
          <w:p w:rsidR="00BF3126" w:rsidRDefault="00BF3126">
            <w:pPr>
              <w:snapToGrid w:val="0"/>
              <w:spacing w:before="60" w:after="60"/>
              <w:ind w:right="-11"/>
              <w:jc w:val="center"/>
            </w:pPr>
            <w:r>
              <w:t>Wyszczególnienie badań i pomiarów</w:t>
            </w:r>
          </w:p>
        </w:tc>
        <w:tc>
          <w:tcPr>
            <w:tcW w:w="3143" w:type="dxa"/>
            <w:tcBorders>
              <w:top w:val="single" w:sz="4" w:space="0" w:color="000000"/>
              <w:left w:val="single" w:sz="4" w:space="0" w:color="000000"/>
              <w:bottom w:val="double" w:sz="2" w:space="0" w:color="000000"/>
              <w:right w:val="single" w:sz="4" w:space="0" w:color="000000"/>
            </w:tcBorders>
            <w:hideMark/>
          </w:tcPr>
          <w:p w:rsidR="00BF3126" w:rsidRDefault="00BF3126">
            <w:pPr>
              <w:snapToGrid w:val="0"/>
              <w:spacing w:before="60" w:after="60"/>
              <w:ind w:right="-11"/>
              <w:jc w:val="center"/>
            </w:pPr>
            <w:r>
              <w:t>Minimalna częstotliwość pomiarów</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60" w:after="60"/>
              <w:ind w:right="-14"/>
              <w:jc w:val="center"/>
            </w:pPr>
            <w:r>
              <w:t>1</w:t>
            </w:r>
          </w:p>
        </w:tc>
        <w:tc>
          <w:tcPr>
            <w:tcW w:w="3675" w:type="dxa"/>
            <w:tcBorders>
              <w:top w:val="nil"/>
              <w:left w:val="single" w:sz="4" w:space="0" w:color="000000"/>
              <w:bottom w:val="single" w:sz="4" w:space="0" w:color="000000"/>
              <w:right w:val="nil"/>
            </w:tcBorders>
            <w:hideMark/>
          </w:tcPr>
          <w:p w:rsidR="00BF3126" w:rsidRDefault="00BF3126">
            <w:pPr>
              <w:snapToGrid w:val="0"/>
              <w:spacing w:before="60" w:after="60"/>
              <w:ind w:right="-14"/>
            </w:pPr>
            <w:r>
              <w:t>Szerokość podbudowy</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10 razy na 1 km</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180" w:after="60"/>
              <w:ind w:right="-11"/>
              <w:jc w:val="center"/>
            </w:pPr>
            <w:r>
              <w:t>2</w:t>
            </w:r>
          </w:p>
        </w:tc>
        <w:tc>
          <w:tcPr>
            <w:tcW w:w="3675" w:type="dxa"/>
            <w:tcBorders>
              <w:top w:val="nil"/>
              <w:left w:val="single" w:sz="4" w:space="0" w:color="000000"/>
              <w:bottom w:val="single" w:sz="4" w:space="0" w:color="000000"/>
              <w:right w:val="nil"/>
            </w:tcBorders>
            <w:hideMark/>
          </w:tcPr>
          <w:p w:rsidR="00BF3126" w:rsidRDefault="00BF3126">
            <w:pPr>
              <w:snapToGrid w:val="0"/>
              <w:spacing w:before="180" w:after="60"/>
              <w:ind w:right="-11"/>
            </w:pPr>
            <w:r>
              <w:t>Równość podłużna</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 xml:space="preserve">w sposób ciągły </w:t>
            </w:r>
            <w:proofErr w:type="spellStart"/>
            <w:r>
              <w:t>planografem</w:t>
            </w:r>
            <w:proofErr w:type="spellEnd"/>
            <w:r>
              <w:t xml:space="preserve"> albo co 20 m łatą na każdym pasie ruchu</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60" w:after="60"/>
              <w:ind w:right="-14"/>
              <w:jc w:val="center"/>
            </w:pPr>
            <w:r>
              <w:t>3</w:t>
            </w:r>
          </w:p>
        </w:tc>
        <w:tc>
          <w:tcPr>
            <w:tcW w:w="3675" w:type="dxa"/>
            <w:tcBorders>
              <w:top w:val="nil"/>
              <w:left w:val="single" w:sz="4" w:space="0" w:color="000000"/>
              <w:bottom w:val="single" w:sz="4" w:space="0" w:color="000000"/>
              <w:right w:val="nil"/>
            </w:tcBorders>
            <w:hideMark/>
          </w:tcPr>
          <w:p w:rsidR="00BF3126" w:rsidRDefault="00BF3126">
            <w:pPr>
              <w:snapToGrid w:val="0"/>
              <w:spacing w:before="60" w:after="60"/>
              <w:ind w:right="-14"/>
            </w:pPr>
            <w:r>
              <w:t>Równość poprzeczna</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10 razy na 1 km</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60" w:after="60"/>
              <w:ind w:right="-14"/>
              <w:jc w:val="center"/>
            </w:pPr>
            <w:r>
              <w:t>4</w:t>
            </w:r>
          </w:p>
        </w:tc>
        <w:tc>
          <w:tcPr>
            <w:tcW w:w="3675" w:type="dxa"/>
            <w:tcBorders>
              <w:top w:val="nil"/>
              <w:left w:val="single" w:sz="4" w:space="0" w:color="000000"/>
              <w:bottom w:val="single" w:sz="4" w:space="0" w:color="000000"/>
              <w:right w:val="nil"/>
            </w:tcBorders>
            <w:hideMark/>
          </w:tcPr>
          <w:p w:rsidR="00BF3126" w:rsidRDefault="00BF3126">
            <w:pPr>
              <w:snapToGrid w:val="0"/>
              <w:spacing w:before="60" w:after="60"/>
              <w:ind w:right="-14"/>
            </w:pPr>
            <w:r>
              <w:t>Spadki poprzeczne*</w:t>
            </w:r>
            <w:r>
              <w:rPr>
                <w:vertAlign w:val="superscript"/>
              </w:rPr>
              <w:t>)</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10 razy na 1 km</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180" w:after="60"/>
              <w:ind w:right="-11"/>
              <w:jc w:val="center"/>
            </w:pPr>
            <w:r>
              <w:t>5</w:t>
            </w:r>
          </w:p>
        </w:tc>
        <w:tc>
          <w:tcPr>
            <w:tcW w:w="3675" w:type="dxa"/>
            <w:tcBorders>
              <w:top w:val="nil"/>
              <w:left w:val="single" w:sz="4" w:space="0" w:color="000000"/>
              <w:bottom w:val="single" w:sz="4" w:space="0" w:color="000000"/>
              <w:right w:val="nil"/>
            </w:tcBorders>
            <w:hideMark/>
          </w:tcPr>
          <w:p w:rsidR="00BF3126" w:rsidRDefault="00BF3126">
            <w:pPr>
              <w:snapToGrid w:val="0"/>
              <w:spacing w:before="180" w:after="60"/>
              <w:ind w:right="-11"/>
            </w:pPr>
            <w:r>
              <w:t>Rzędne wysokościowe</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co 100 m w osi jezdni i na jej krawędziach</w:t>
            </w:r>
          </w:p>
        </w:tc>
      </w:tr>
    </w:tbl>
    <w:p w:rsidR="00BF3126" w:rsidRDefault="00BF3126" w:rsidP="00BF3126"/>
    <w:p w:rsidR="00BF3126" w:rsidRDefault="00BF3126" w:rsidP="00BF3126"/>
    <w:p w:rsidR="00BF3126" w:rsidRDefault="00BF3126" w:rsidP="00BF3126">
      <w:r>
        <w:t>Cd. tablicy 4</w:t>
      </w:r>
    </w:p>
    <w:tbl>
      <w:tblPr>
        <w:tblW w:w="0" w:type="auto"/>
        <w:tblInd w:w="-12" w:type="dxa"/>
        <w:tblLayout w:type="fixed"/>
        <w:tblCellMar>
          <w:left w:w="70" w:type="dxa"/>
          <w:right w:w="70" w:type="dxa"/>
        </w:tblCellMar>
        <w:tblLook w:val="04A0" w:firstRow="1" w:lastRow="0" w:firstColumn="1" w:lastColumn="0" w:noHBand="0" w:noVBand="1"/>
      </w:tblPr>
      <w:tblGrid>
        <w:gridCol w:w="790"/>
        <w:gridCol w:w="3675"/>
        <w:gridCol w:w="3143"/>
      </w:tblGrid>
      <w:tr w:rsidR="00BF3126" w:rsidTr="00BF3126">
        <w:tc>
          <w:tcPr>
            <w:tcW w:w="790" w:type="dxa"/>
            <w:tcBorders>
              <w:top w:val="single" w:sz="4" w:space="0" w:color="000000"/>
              <w:left w:val="single" w:sz="4" w:space="0" w:color="000000"/>
              <w:bottom w:val="single" w:sz="4" w:space="0" w:color="000000"/>
              <w:right w:val="nil"/>
            </w:tcBorders>
            <w:hideMark/>
          </w:tcPr>
          <w:p w:rsidR="00BF3126" w:rsidRDefault="00BF3126">
            <w:pPr>
              <w:snapToGrid w:val="0"/>
              <w:spacing w:before="60" w:after="60"/>
              <w:ind w:right="-14"/>
              <w:jc w:val="center"/>
            </w:pPr>
            <w:r>
              <w:t>6</w:t>
            </w:r>
          </w:p>
        </w:tc>
        <w:tc>
          <w:tcPr>
            <w:tcW w:w="3675" w:type="dxa"/>
            <w:tcBorders>
              <w:top w:val="single" w:sz="4" w:space="0" w:color="000000"/>
              <w:left w:val="single" w:sz="4" w:space="0" w:color="000000"/>
              <w:bottom w:val="single" w:sz="4" w:space="0" w:color="000000"/>
              <w:right w:val="nil"/>
            </w:tcBorders>
            <w:hideMark/>
          </w:tcPr>
          <w:p w:rsidR="00BF3126" w:rsidRDefault="00BF3126">
            <w:pPr>
              <w:snapToGrid w:val="0"/>
              <w:spacing w:before="60" w:after="60"/>
              <w:ind w:right="-14"/>
            </w:pPr>
            <w:r>
              <w:t>Ukształtowanie osi w planie*</w:t>
            </w:r>
            <w:r>
              <w:rPr>
                <w:vertAlign w:val="superscript"/>
              </w:rPr>
              <w:t>)</w:t>
            </w:r>
          </w:p>
        </w:tc>
        <w:tc>
          <w:tcPr>
            <w:tcW w:w="3143" w:type="dxa"/>
            <w:tcBorders>
              <w:top w:val="single" w:sz="4" w:space="0" w:color="000000"/>
              <w:left w:val="single" w:sz="4" w:space="0" w:color="000000"/>
              <w:bottom w:val="single" w:sz="4" w:space="0" w:color="000000"/>
              <w:right w:val="single" w:sz="4" w:space="0" w:color="000000"/>
            </w:tcBorders>
            <w:hideMark/>
          </w:tcPr>
          <w:p w:rsidR="00BF3126" w:rsidRDefault="00BF3126">
            <w:pPr>
              <w:snapToGrid w:val="0"/>
              <w:spacing w:before="60" w:after="60"/>
              <w:ind w:right="-14"/>
              <w:jc w:val="center"/>
            </w:pPr>
            <w:r>
              <w:t>co 100 m</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60" w:after="60"/>
              <w:ind w:right="-14"/>
              <w:jc w:val="center"/>
            </w:pPr>
            <w:r>
              <w:t>7</w:t>
            </w:r>
          </w:p>
        </w:tc>
        <w:tc>
          <w:tcPr>
            <w:tcW w:w="3675" w:type="dxa"/>
            <w:tcBorders>
              <w:top w:val="nil"/>
              <w:left w:val="single" w:sz="4" w:space="0" w:color="000000"/>
              <w:bottom w:val="single" w:sz="4" w:space="0" w:color="000000"/>
              <w:right w:val="nil"/>
            </w:tcBorders>
            <w:hideMark/>
          </w:tcPr>
          <w:p w:rsidR="00BF3126" w:rsidRDefault="00BF3126">
            <w:pPr>
              <w:snapToGrid w:val="0"/>
              <w:spacing w:before="60" w:after="60"/>
              <w:ind w:right="-14"/>
            </w:pPr>
            <w:r>
              <w:t>Grubość podbudowy</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ind w:right="-11"/>
            </w:pPr>
            <w:r>
              <w:t>Podczas budowy:</w:t>
            </w:r>
          </w:p>
          <w:p w:rsidR="00BF3126" w:rsidRDefault="00BF3126">
            <w:pPr>
              <w:ind w:right="-11"/>
            </w:pPr>
            <w:r>
              <w:t>w 3 punktach na każdej działce roboczej, lecz nie rzadziej niż raz na 400 m</w:t>
            </w:r>
            <w:r>
              <w:rPr>
                <w:vertAlign w:val="superscript"/>
              </w:rPr>
              <w:t>2</w:t>
            </w:r>
          </w:p>
          <w:p w:rsidR="00BF3126" w:rsidRDefault="00BF3126">
            <w:pPr>
              <w:ind w:right="-11"/>
            </w:pPr>
            <w:r>
              <w:t>Przed odbiorem:</w:t>
            </w:r>
          </w:p>
          <w:p w:rsidR="00BF3126" w:rsidRDefault="00BF3126">
            <w:pPr>
              <w:ind w:right="-11"/>
            </w:pPr>
            <w:r>
              <w:t>w 3 punktach, lecz nie rzadziej niż raz na 2000 m</w:t>
            </w:r>
            <w:r>
              <w:rPr>
                <w:vertAlign w:val="superscript"/>
              </w:rPr>
              <w:t>2</w:t>
            </w:r>
          </w:p>
        </w:tc>
      </w:tr>
      <w:tr w:rsidR="00BF3126" w:rsidTr="00BF3126">
        <w:tc>
          <w:tcPr>
            <w:tcW w:w="790" w:type="dxa"/>
            <w:tcBorders>
              <w:top w:val="nil"/>
              <w:left w:val="single" w:sz="4" w:space="0" w:color="000000"/>
              <w:bottom w:val="single" w:sz="4" w:space="0" w:color="000000"/>
              <w:right w:val="nil"/>
            </w:tcBorders>
            <w:hideMark/>
          </w:tcPr>
          <w:p w:rsidR="00BF3126" w:rsidRDefault="00BF3126">
            <w:pPr>
              <w:snapToGrid w:val="0"/>
              <w:spacing w:before="60" w:after="60"/>
              <w:ind w:right="-14"/>
              <w:jc w:val="center"/>
            </w:pPr>
            <w:r>
              <w:t>8</w:t>
            </w:r>
          </w:p>
        </w:tc>
        <w:tc>
          <w:tcPr>
            <w:tcW w:w="3675" w:type="dxa"/>
            <w:tcBorders>
              <w:top w:val="nil"/>
              <w:left w:val="single" w:sz="4" w:space="0" w:color="000000"/>
              <w:bottom w:val="single" w:sz="4" w:space="0" w:color="000000"/>
              <w:right w:val="nil"/>
            </w:tcBorders>
            <w:hideMark/>
          </w:tcPr>
          <w:p w:rsidR="00BF3126" w:rsidRDefault="00BF3126">
            <w:pPr>
              <w:snapToGrid w:val="0"/>
              <w:spacing w:before="60" w:after="60"/>
              <w:ind w:right="-14"/>
            </w:pPr>
            <w:r>
              <w:t>Nośność podbudowy</w:t>
            </w:r>
          </w:p>
        </w:tc>
        <w:tc>
          <w:tcPr>
            <w:tcW w:w="3143" w:type="dxa"/>
            <w:tcBorders>
              <w:top w:val="nil"/>
              <w:left w:val="single" w:sz="4" w:space="0" w:color="000000"/>
              <w:bottom w:val="single" w:sz="4" w:space="0" w:color="000000"/>
              <w:right w:val="single" w:sz="4" w:space="0" w:color="000000"/>
            </w:tcBorders>
            <w:hideMark/>
          </w:tcPr>
          <w:p w:rsidR="00BF3126" w:rsidRDefault="00BF3126">
            <w:pPr>
              <w:snapToGrid w:val="0"/>
              <w:spacing w:before="60" w:after="60"/>
              <w:ind w:right="-14"/>
            </w:pPr>
            <w:r>
              <w:t>nie rzadziej niż raz na 3000 m</w:t>
            </w:r>
            <w:r>
              <w:rPr>
                <w:vertAlign w:val="superscript"/>
              </w:rPr>
              <w:t>2</w:t>
            </w:r>
          </w:p>
        </w:tc>
      </w:tr>
    </w:tbl>
    <w:p w:rsidR="00BF3126" w:rsidRDefault="00BF3126" w:rsidP="00BF3126">
      <w:pPr>
        <w:spacing w:before="120" w:after="120"/>
        <w:ind w:left="284" w:right="-11" w:hanging="284"/>
        <w:rPr>
          <w:b/>
        </w:rPr>
      </w:pPr>
      <w:r>
        <w:t>*) Dodatkowe pomiary spadków poprzecznych i ukształtowanie osi w planie należy wykonać w punktach głównych łuków poziomych.</w:t>
      </w:r>
    </w:p>
    <w:p w:rsidR="00BF3126" w:rsidRDefault="00BF3126" w:rsidP="00BF3126">
      <w:pPr>
        <w:keepNext/>
        <w:spacing w:before="120" w:after="120"/>
        <w:ind w:right="-11"/>
      </w:pPr>
      <w:r>
        <w:rPr>
          <w:b/>
        </w:rPr>
        <w:t xml:space="preserve">6.4.2. </w:t>
      </w:r>
      <w:r>
        <w:t>Szerokość podbudowy</w:t>
      </w:r>
    </w:p>
    <w:p w:rsidR="00BF3126" w:rsidRDefault="00BF3126" w:rsidP="00BF3126">
      <w:pPr>
        <w:ind w:right="-11"/>
      </w:pPr>
      <w:r>
        <w:tab/>
        <w:t>Szerokość podbudowy nie może różnić się od szerokości projektowanej o więcej niż +10 cm, -5 cm.</w:t>
      </w:r>
    </w:p>
    <w:p w:rsidR="00BF3126" w:rsidRDefault="00BF3126" w:rsidP="00BF3126">
      <w:pPr>
        <w:ind w:right="-11"/>
        <w:rPr>
          <w:b/>
        </w:rPr>
      </w:pPr>
      <w:r>
        <w:tab/>
        <w:t>Na jezdniach bez krawężników szerokość podbudowy powinna być większa od szerokości warstwy wyżej leżącej o co najmniej 25 cm lub o wartość wskazaną w dokumentacji projektowej.</w:t>
      </w:r>
    </w:p>
    <w:p w:rsidR="00BF3126" w:rsidRDefault="00BF3126" w:rsidP="00BF3126">
      <w:pPr>
        <w:spacing w:before="120" w:after="120"/>
        <w:ind w:right="-11"/>
      </w:pPr>
      <w:r>
        <w:rPr>
          <w:b/>
        </w:rPr>
        <w:lastRenderedPageBreak/>
        <w:t xml:space="preserve">6.4.3. </w:t>
      </w:r>
      <w:r>
        <w:t>Równość podbudowy</w:t>
      </w:r>
    </w:p>
    <w:p w:rsidR="00BF3126" w:rsidRDefault="00BF3126" w:rsidP="00BF3126">
      <w:pPr>
        <w:ind w:right="-11"/>
      </w:pPr>
      <w:r>
        <w:tab/>
        <w:t xml:space="preserve">Nierówności podłużne podbudowy należy mierzyć 4-metrową łatą lub </w:t>
      </w:r>
      <w:proofErr w:type="spellStart"/>
      <w:r>
        <w:t>planografem</w:t>
      </w:r>
      <w:proofErr w:type="spellEnd"/>
      <w:r>
        <w:t xml:space="preserve">, zgodnie z normą BN-68/8931-04 [11]. </w:t>
      </w:r>
    </w:p>
    <w:p w:rsidR="00BF3126" w:rsidRDefault="00BF3126" w:rsidP="00BF3126">
      <w:pPr>
        <w:ind w:right="-11"/>
      </w:pPr>
      <w:r>
        <w:tab/>
        <w:t xml:space="preserve">Nierówności poprzeczne podbudowy należy mierzyć 4-metrową łatą. </w:t>
      </w:r>
    </w:p>
    <w:p w:rsidR="00BF3126" w:rsidRDefault="00BF3126" w:rsidP="00BF3126">
      <w:pPr>
        <w:ind w:right="-11"/>
      </w:pPr>
      <w:r>
        <w:tab/>
        <w:t>Nierówności podbudowy nie mogą przekraczać:</w:t>
      </w:r>
    </w:p>
    <w:p w:rsidR="00BF3126" w:rsidRDefault="00BF3126" w:rsidP="00BF3126">
      <w:pPr>
        <w:ind w:right="-11"/>
      </w:pPr>
      <w:r>
        <w:t>- 12 mm dla podbudowy zasadniczej,</w:t>
      </w:r>
    </w:p>
    <w:p w:rsidR="00BF3126" w:rsidRDefault="00BF3126" w:rsidP="00BF3126">
      <w:pPr>
        <w:ind w:right="-11"/>
        <w:rPr>
          <w:b/>
        </w:rPr>
      </w:pPr>
      <w:r>
        <w:t>- 15 mm dla podbudowy pomocniczej.</w:t>
      </w:r>
    </w:p>
    <w:p w:rsidR="00BF3126" w:rsidRDefault="00BF3126" w:rsidP="00BF3126">
      <w:pPr>
        <w:spacing w:before="120" w:after="120"/>
        <w:ind w:right="-11"/>
      </w:pPr>
      <w:r>
        <w:rPr>
          <w:b/>
        </w:rPr>
        <w:t xml:space="preserve">6.4.4. </w:t>
      </w:r>
      <w:r>
        <w:t>Spadki poprzeczne podbudowy</w:t>
      </w:r>
    </w:p>
    <w:p w:rsidR="00BF3126" w:rsidRDefault="00BF3126" w:rsidP="00BF3126">
      <w:pPr>
        <w:ind w:right="-11"/>
        <w:rPr>
          <w:b/>
        </w:rPr>
      </w:pPr>
      <w:r>
        <w:tab/>
        <w:t xml:space="preserve">Spadki poprzeczne podbudowy na prostych i łukach powinny być zgodne z dokumentacją projektową z tolerancją </w:t>
      </w:r>
      <w:r>
        <w:rPr>
          <w:rFonts w:ascii="Symbol" w:hAnsi="Symbol" w:cs="Symbol"/>
        </w:rPr>
        <w:t></w:t>
      </w:r>
      <w:r>
        <w:t xml:space="preserve"> 0,5 %.</w:t>
      </w:r>
    </w:p>
    <w:p w:rsidR="00BF3126" w:rsidRDefault="00BF3126" w:rsidP="00BF3126">
      <w:pPr>
        <w:spacing w:before="120" w:after="120"/>
        <w:ind w:right="-11"/>
      </w:pPr>
      <w:r>
        <w:rPr>
          <w:b/>
        </w:rPr>
        <w:t xml:space="preserve">6.4.5. </w:t>
      </w:r>
      <w:r>
        <w:t>Rzędne wysokościowe podbudowy</w:t>
      </w:r>
    </w:p>
    <w:p w:rsidR="00BF3126" w:rsidRDefault="00BF3126" w:rsidP="00BF3126">
      <w:pPr>
        <w:ind w:right="-11"/>
        <w:rPr>
          <w:b/>
        </w:rPr>
      </w:pPr>
      <w:r>
        <w:tab/>
        <w:t>Różnice pomiędzy rzędnymi wysokościowymi podbudowy i rzędnymi projektowanymi nie powinny przekraczać + 1 cm, -2 cm.</w:t>
      </w:r>
    </w:p>
    <w:p w:rsidR="00BF3126" w:rsidRDefault="00BF3126" w:rsidP="00BF3126">
      <w:pPr>
        <w:spacing w:before="120" w:after="120"/>
        <w:ind w:right="-11"/>
      </w:pPr>
      <w:r>
        <w:rPr>
          <w:b/>
        </w:rPr>
        <w:t xml:space="preserve">6.4.6. </w:t>
      </w:r>
      <w:r>
        <w:t>Ukształtowanie osi w planie</w:t>
      </w:r>
    </w:p>
    <w:p w:rsidR="00BF3126" w:rsidRDefault="00BF3126" w:rsidP="00BF3126">
      <w:pPr>
        <w:ind w:right="-11"/>
      </w:pPr>
      <w:r>
        <w:tab/>
        <w:t xml:space="preserve">Oś podbudowy w planie nie może być przesunięta w stosunku do osi projektowanej o więcej niż 3 cm dla autostrad i dróg ekspresowych lub o więcej niż </w:t>
      </w:r>
      <w:r>
        <w:rPr>
          <w:rFonts w:ascii="Symbol" w:hAnsi="Symbol" w:cs="Symbol"/>
        </w:rPr>
        <w:t></w:t>
      </w:r>
      <w:r>
        <w:t xml:space="preserve"> 5 cm dla pozostałych dróg.</w:t>
      </w:r>
    </w:p>
    <w:p w:rsidR="00BF3126" w:rsidRDefault="00BF3126" w:rsidP="00BF3126">
      <w:pPr>
        <w:ind w:right="-11"/>
      </w:pPr>
    </w:p>
    <w:p w:rsidR="00BF3126" w:rsidRDefault="00BF3126" w:rsidP="00BF3126">
      <w:pPr>
        <w:ind w:right="-11"/>
      </w:pPr>
    </w:p>
    <w:p w:rsidR="00BF3126" w:rsidRDefault="00BF3126" w:rsidP="00BF3126">
      <w:pPr>
        <w:spacing w:before="120" w:after="120"/>
        <w:ind w:right="-11"/>
      </w:pPr>
      <w:r>
        <w:rPr>
          <w:b/>
        </w:rPr>
        <w:t xml:space="preserve">6.4.7. </w:t>
      </w:r>
      <w:r>
        <w:t>Grubość podbudowy</w:t>
      </w:r>
    </w:p>
    <w:p w:rsidR="00BF3126" w:rsidRDefault="00BF3126" w:rsidP="00BF3126">
      <w:pPr>
        <w:ind w:right="-11"/>
      </w:pPr>
      <w:r>
        <w:tab/>
        <w:t>Grubość podbudowy nie może różnić się od grubości projektowanej o więcej niż:</w:t>
      </w:r>
    </w:p>
    <w:p w:rsidR="00BF3126" w:rsidRDefault="00BF3126" w:rsidP="00BF3126">
      <w:pPr>
        <w:ind w:right="-11"/>
      </w:pPr>
      <w:r>
        <w:t xml:space="preserve">- dla podbudowy zasadniczej </w:t>
      </w:r>
      <w:r>
        <w:rPr>
          <w:rFonts w:ascii="Symbol" w:hAnsi="Symbol" w:cs="Symbol"/>
        </w:rPr>
        <w:t></w:t>
      </w:r>
      <w:r>
        <w:t xml:space="preserve"> 2 cm,</w:t>
      </w:r>
    </w:p>
    <w:p w:rsidR="00BF3126" w:rsidRDefault="00BF3126" w:rsidP="00BF3126">
      <w:pPr>
        <w:ind w:right="-11"/>
        <w:rPr>
          <w:b/>
        </w:rPr>
      </w:pPr>
      <w:r>
        <w:t>- dla podbudowy pomocniczej +1 cm, -2 cm.</w:t>
      </w:r>
    </w:p>
    <w:p w:rsidR="00BF3126" w:rsidRDefault="00BF3126" w:rsidP="00BF3126">
      <w:pPr>
        <w:spacing w:before="120" w:after="120"/>
        <w:ind w:right="-11"/>
      </w:pPr>
      <w:r>
        <w:rPr>
          <w:b/>
        </w:rPr>
        <w:t xml:space="preserve">6.4.8. </w:t>
      </w:r>
      <w:r>
        <w:t>Nośność podbudowy</w:t>
      </w:r>
    </w:p>
    <w:p w:rsidR="00BF3126" w:rsidRDefault="00BF3126" w:rsidP="00BF3126">
      <w:pPr>
        <w:ind w:right="-11"/>
      </w:pPr>
      <w:r>
        <w:tab/>
        <w:t>Pomiary nośności podbudowy należy wykonać zgodnie z BN-64/8931-02 [10].</w:t>
      </w:r>
    </w:p>
    <w:p w:rsidR="00BF3126" w:rsidRDefault="00BF3126" w:rsidP="00BF3126">
      <w:pPr>
        <w:ind w:right="-11"/>
      </w:pPr>
      <w:r>
        <w:tab/>
        <w:t>Podbudowa zasadnicza powinna spełniać wymagania dotyczące nośności, podane w tablicy 5.</w:t>
      </w:r>
    </w:p>
    <w:p w:rsidR="00BF3126" w:rsidRDefault="00BF3126" w:rsidP="00BF3126">
      <w:pPr>
        <w:spacing w:before="120" w:after="120"/>
        <w:ind w:right="-11"/>
      </w:pPr>
      <w:r>
        <w:t>Tablica 5. Wymagania nośności podbudowy zasadniczej w zależności od kategorii ruchu</w:t>
      </w:r>
    </w:p>
    <w:tbl>
      <w:tblPr>
        <w:tblW w:w="0" w:type="auto"/>
        <w:tblInd w:w="-12" w:type="dxa"/>
        <w:tblLayout w:type="fixed"/>
        <w:tblCellMar>
          <w:left w:w="70" w:type="dxa"/>
          <w:right w:w="70" w:type="dxa"/>
        </w:tblCellMar>
        <w:tblLook w:val="04A0" w:firstRow="1" w:lastRow="0" w:firstColumn="1" w:lastColumn="0" w:noHBand="0" w:noVBand="1"/>
      </w:tblPr>
      <w:tblGrid>
        <w:gridCol w:w="2905"/>
        <w:gridCol w:w="2302"/>
        <w:gridCol w:w="2328"/>
      </w:tblGrid>
      <w:tr w:rsidR="00BF3126" w:rsidTr="00BF3126">
        <w:tc>
          <w:tcPr>
            <w:tcW w:w="2905" w:type="dxa"/>
            <w:tcBorders>
              <w:top w:val="single" w:sz="4" w:space="0" w:color="000000"/>
              <w:left w:val="single" w:sz="4" w:space="0" w:color="000000"/>
              <w:bottom w:val="nil"/>
              <w:right w:val="nil"/>
            </w:tcBorders>
          </w:tcPr>
          <w:p w:rsidR="00BF3126" w:rsidRDefault="00BF3126">
            <w:pPr>
              <w:snapToGrid w:val="0"/>
              <w:ind w:right="-11"/>
            </w:pPr>
          </w:p>
          <w:p w:rsidR="00BF3126" w:rsidRDefault="00BF3126">
            <w:pPr>
              <w:ind w:right="-11"/>
              <w:jc w:val="center"/>
            </w:pPr>
            <w:r>
              <w:t>Kategoria ruchu</w:t>
            </w:r>
          </w:p>
        </w:tc>
        <w:tc>
          <w:tcPr>
            <w:tcW w:w="4630" w:type="dxa"/>
            <w:gridSpan w:val="2"/>
            <w:tcBorders>
              <w:top w:val="single" w:sz="4" w:space="0" w:color="000000"/>
              <w:left w:val="single" w:sz="4" w:space="0" w:color="000000"/>
              <w:bottom w:val="single" w:sz="4" w:space="0" w:color="000000"/>
              <w:right w:val="single" w:sz="4" w:space="0" w:color="000000"/>
            </w:tcBorders>
            <w:hideMark/>
          </w:tcPr>
          <w:p w:rsidR="00BF3126" w:rsidRDefault="00BF3126">
            <w:pPr>
              <w:snapToGrid w:val="0"/>
              <w:ind w:right="-11"/>
              <w:jc w:val="center"/>
            </w:pPr>
            <w:r>
              <w:t>Minimalny moduł odkształcenia mierzony przy użyciu płyty o średnicy 30 cm   (</w:t>
            </w:r>
            <w:proofErr w:type="spellStart"/>
            <w:r>
              <w:t>MPa</w:t>
            </w:r>
            <w:proofErr w:type="spellEnd"/>
            <w:r>
              <w:t>)</w:t>
            </w:r>
          </w:p>
        </w:tc>
      </w:tr>
      <w:tr w:rsidR="00BF3126" w:rsidTr="00BF3126">
        <w:tc>
          <w:tcPr>
            <w:tcW w:w="2905" w:type="dxa"/>
            <w:tcBorders>
              <w:top w:val="nil"/>
              <w:left w:val="single" w:sz="4" w:space="0" w:color="000000"/>
              <w:bottom w:val="double" w:sz="2" w:space="0" w:color="000000"/>
              <w:right w:val="nil"/>
            </w:tcBorders>
          </w:tcPr>
          <w:p w:rsidR="00BF3126" w:rsidRDefault="00BF3126">
            <w:pPr>
              <w:snapToGrid w:val="0"/>
              <w:ind w:right="-11"/>
            </w:pPr>
          </w:p>
        </w:tc>
        <w:tc>
          <w:tcPr>
            <w:tcW w:w="2302" w:type="dxa"/>
            <w:tcBorders>
              <w:top w:val="nil"/>
              <w:left w:val="single" w:sz="4" w:space="0" w:color="000000"/>
              <w:bottom w:val="double" w:sz="2" w:space="0" w:color="000000"/>
              <w:right w:val="nil"/>
            </w:tcBorders>
            <w:hideMark/>
          </w:tcPr>
          <w:p w:rsidR="00BF3126" w:rsidRDefault="00BF3126">
            <w:pPr>
              <w:snapToGrid w:val="0"/>
              <w:ind w:right="-11"/>
              <w:jc w:val="center"/>
            </w:pPr>
            <w:r>
              <w:t xml:space="preserve">Pierwotny </w:t>
            </w:r>
            <w:r>
              <w:rPr>
                <w:i/>
              </w:rPr>
              <w:t>M</w:t>
            </w:r>
            <w:r>
              <w:rPr>
                <w:position w:val="-8"/>
              </w:rPr>
              <w:object w:dxaOrig="180" w:dyaOrig="360">
                <v:shape id="_x0000_i1026" type="#_x0000_t75" style="width:9pt;height:18pt" o:ole="" filled="t">
                  <v:fill color2="black"/>
                  <v:imagedata r:id="rId10" o:title=""/>
                </v:shape>
                <o:OLEObject Type="Embed" ProgID="Równanie" ShapeID="_x0000_i1026" DrawAspect="Content" ObjectID="_1614758114" r:id="rId11"/>
              </w:object>
            </w:r>
          </w:p>
        </w:tc>
        <w:tc>
          <w:tcPr>
            <w:tcW w:w="2328" w:type="dxa"/>
            <w:tcBorders>
              <w:top w:val="nil"/>
              <w:left w:val="single" w:sz="4" w:space="0" w:color="000000"/>
              <w:bottom w:val="double" w:sz="2" w:space="0" w:color="000000"/>
              <w:right w:val="single" w:sz="4" w:space="0" w:color="000000"/>
            </w:tcBorders>
            <w:hideMark/>
          </w:tcPr>
          <w:p w:rsidR="00BF3126" w:rsidRDefault="00BF3126">
            <w:pPr>
              <w:snapToGrid w:val="0"/>
              <w:ind w:right="-11"/>
              <w:jc w:val="center"/>
            </w:pPr>
            <w:r>
              <w:t xml:space="preserve">Wtórny </w:t>
            </w:r>
            <w:r>
              <w:rPr>
                <w:i/>
              </w:rPr>
              <w:t>M</w:t>
            </w:r>
            <w:r>
              <w:rPr>
                <w:position w:val="-8"/>
              </w:rPr>
              <w:object w:dxaOrig="195" w:dyaOrig="360">
                <v:shape id="_x0000_i1027" type="#_x0000_t75" style="width:9.75pt;height:18pt" o:ole="" filled="t">
                  <v:fill color2="black"/>
                  <v:imagedata r:id="rId12" o:title=""/>
                </v:shape>
                <o:OLEObject Type="Embed" ProgID="Równanie" ShapeID="_x0000_i1027" DrawAspect="Content" ObjectID="_1614758115" r:id="rId13"/>
              </w:object>
            </w:r>
          </w:p>
        </w:tc>
      </w:tr>
      <w:tr w:rsidR="00BF3126" w:rsidTr="00BF3126">
        <w:tc>
          <w:tcPr>
            <w:tcW w:w="2905" w:type="dxa"/>
            <w:tcBorders>
              <w:top w:val="nil"/>
              <w:left w:val="single" w:sz="4" w:space="0" w:color="000000"/>
              <w:bottom w:val="single" w:sz="4" w:space="0" w:color="000000"/>
              <w:right w:val="nil"/>
            </w:tcBorders>
            <w:hideMark/>
          </w:tcPr>
          <w:p w:rsidR="00BF3126" w:rsidRDefault="00BF3126">
            <w:pPr>
              <w:snapToGrid w:val="0"/>
              <w:spacing w:before="60"/>
              <w:ind w:right="-11"/>
            </w:pPr>
            <w:r>
              <w:t>Ruch lekki</w:t>
            </w:r>
          </w:p>
          <w:p w:rsidR="00BF3126" w:rsidRDefault="00BF3126">
            <w:pPr>
              <w:spacing w:after="60"/>
              <w:ind w:right="-11"/>
            </w:pPr>
            <w:r>
              <w:t>Ruch lekko średni i średni</w:t>
            </w:r>
          </w:p>
        </w:tc>
        <w:tc>
          <w:tcPr>
            <w:tcW w:w="2302" w:type="dxa"/>
            <w:tcBorders>
              <w:top w:val="nil"/>
              <w:left w:val="single" w:sz="4" w:space="0" w:color="000000"/>
              <w:bottom w:val="single" w:sz="4" w:space="0" w:color="000000"/>
              <w:right w:val="nil"/>
            </w:tcBorders>
            <w:hideMark/>
          </w:tcPr>
          <w:p w:rsidR="00BF3126" w:rsidRDefault="00BF3126">
            <w:pPr>
              <w:snapToGrid w:val="0"/>
              <w:spacing w:before="60"/>
              <w:ind w:right="-11"/>
              <w:jc w:val="center"/>
            </w:pPr>
            <w:r>
              <w:t>100</w:t>
            </w:r>
          </w:p>
          <w:p w:rsidR="00BF3126" w:rsidRDefault="00BF3126">
            <w:pPr>
              <w:spacing w:after="60"/>
              <w:ind w:right="-11"/>
              <w:jc w:val="center"/>
            </w:pPr>
            <w:r>
              <w:t>100</w:t>
            </w:r>
          </w:p>
        </w:tc>
        <w:tc>
          <w:tcPr>
            <w:tcW w:w="2328" w:type="dxa"/>
            <w:tcBorders>
              <w:top w:val="nil"/>
              <w:left w:val="single" w:sz="4" w:space="0" w:color="000000"/>
              <w:bottom w:val="single" w:sz="4" w:space="0" w:color="000000"/>
              <w:right w:val="single" w:sz="4" w:space="0" w:color="000000"/>
            </w:tcBorders>
            <w:hideMark/>
          </w:tcPr>
          <w:p w:rsidR="00BF3126" w:rsidRDefault="00BF3126">
            <w:pPr>
              <w:snapToGrid w:val="0"/>
              <w:spacing w:before="60"/>
              <w:ind w:right="-11"/>
              <w:jc w:val="center"/>
            </w:pPr>
            <w:r>
              <w:t>140</w:t>
            </w:r>
          </w:p>
          <w:p w:rsidR="00BF3126" w:rsidRDefault="00BF3126">
            <w:pPr>
              <w:spacing w:after="60"/>
              <w:ind w:right="-11"/>
              <w:jc w:val="center"/>
            </w:pPr>
            <w:r>
              <w:t>170</w:t>
            </w:r>
          </w:p>
        </w:tc>
      </w:tr>
    </w:tbl>
    <w:p w:rsidR="00BF3126" w:rsidRDefault="00BF3126" w:rsidP="00BF3126">
      <w:pPr>
        <w:ind w:right="-11"/>
      </w:pPr>
    </w:p>
    <w:p w:rsidR="00BF3126" w:rsidRDefault="00BF3126" w:rsidP="00BF3126">
      <w:pPr>
        <w:ind w:right="-11"/>
      </w:pPr>
      <w:r>
        <w:tab/>
        <w:t xml:space="preserve">Pierwotny moduł odkształcenia podbudowy pomocniczej mierzony płytą o średnicy 30 cm, powinien być większy od 50 </w:t>
      </w:r>
      <w:proofErr w:type="spellStart"/>
      <w:r>
        <w:t>MPa</w:t>
      </w:r>
      <w:proofErr w:type="spellEnd"/>
      <w:r>
        <w:t>.</w:t>
      </w:r>
    </w:p>
    <w:p w:rsidR="00BF3126" w:rsidRDefault="00BF3126" w:rsidP="00BF3126">
      <w:pPr>
        <w:ind w:right="-11"/>
      </w:pPr>
      <w:r>
        <w:tab/>
        <w:t xml:space="preserve">Zagęszczenie podbudowy należy uznać za prawidłowe, gdy stosunek wtórnego modułu odkształcenia </w:t>
      </w:r>
      <w:r>
        <w:rPr>
          <w:i/>
        </w:rPr>
        <w:t>M</w:t>
      </w:r>
      <w:r>
        <w:rPr>
          <w:position w:val="-8"/>
        </w:rPr>
        <w:object w:dxaOrig="195" w:dyaOrig="360">
          <v:shape id="_x0000_i1028" type="#_x0000_t75" style="width:9.75pt;height:18pt" o:ole="" filled="t">
            <v:fill color2="black"/>
            <v:imagedata r:id="rId12" o:title=""/>
          </v:shape>
          <o:OLEObject Type="Embed" ProgID="Równanie" ShapeID="_x0000_i1028" DrawAspect="Content" ObjectID="_1614758116" r:id="rId14"/>
        </w:object>
      </w:r>
      <w:r>
        <w:t xml:space="preserve"> do pierwotnego modułu odkształcenia </w:t>
      </w:r>
      <w:r>
        <w:rPr>
          <w:i/>
        </w:rPr>
        <w:t>M</w:t>
      </w:r>
      <w:r>
        <w:rPr>
          <w:position w:val="-8"/>
        </w:rPr>
        <w:object w:dxaOrig="180" w:dyaOrig="360">
          <v:shape id="_x0000_i1029" type="#_x0000_t75" style="width:9pt;height:18pt" o:ole="" filled="t">
            <v:fill color2="black"/>
            <v:imagedata r:id="rId10" o:title=""/>
          </v:shape>
          <o:OLEObject Type="Embed" ProgID="Równanie" ShapeID="_x0000_i1029" DrawAspect="Content" ObjectID="_1614758117" r:id="rId15"/>
        </w:object>
      </w:r>
      <w:r>
        <w:t xml:space="preserve"> jest nie większy             od 2,2.</w:t>
      </w:r>
    </w:p>
    <w:p w:rsidR="00BF3126" w:rsidRDefault="00BF3126" w:rsidP="00BF3126">
      <w:pPr>
        <w:ind w:right="-11"/>
      </w:pPr>
      <w:r>
        <w:tab/>
      </w:r>
      <w:r>
        <w:tab/>
      </w:r>
      <w:r>
        <w:tab/>
      </w:r>
      <w:r>
        <w:rPr>
          <w:position w:val="-26"/>
        </w:rPr>
        <w:object w:dxaOrig="480" w:dyaOrig="720">
          <v:shape id="_x0000_i1030" type="#_x0000_t75" style="width:24pt;height:36pt" o:ole="" filled="t">
            <v:fill color2="black"/>
            <v:imagedata r:id="rId16" o:title=""/>
          </v:shape>
          <o:OLEObject Type="Embed" ProgID="Równanie" ShapeID="_x0000_i1030" DrawAspect="Content" ObjectID="_1614758118" r:id="rId17"/>
        </w:object>
      </w:r>
      <w:r>
        <w:rPr>
          <w:sz w:val="16"/>
        </w:rPr>
        <w:tab/>
      </w:r>
      <w:r>
        <w:rPr>
          <w:rFonts w:ascii="Symbol" w:hAnsi="Symbol" w:cs="Symbol"/>
        </w:rPr>
        <w:t></w:t>
      </w:r>
      <w:r>
        <w:t xml:space="preserve">    2,2</w:t>
      </w:r>
      <w:r>
        <w:rPr>
          <w:sz w:val="16"/>
        </w:rPr>
        <w:tab/>
      </w:r>
      <w:r>
        <w:rPr>
          <w:sz w:val="16"/>
        </w:rPr>
        <w:tab/>
      </w:r>
      <w:r>
        <w:rPr>
          <w:sz w:val="16"/>
        </w:rPr>
        <w:tab/>
      </w:r>
      <w:r>
        <w:rPr>
          <w:sz w:val="16"/>
        </w:rPr>
        <w:tab/>
      </w:r>
      <w:r>
        <w:rPr>
          <w:sz w:val="16"/>
        </w:rPr>
        <w:tab/>
      </w:r>
      <w:r>
        <w:rPr>
          <w:sz w:val="16"/>
        </w:rPr>
        <w:tab/>
      </w:r>
    </w:p>
    <w:p w:rsidR="00BF3126" w:rsidRDefault="00BF3126" w:rsidP="00BF3126">
      <w:pPr>
        <w:pStyle w:val="Nagwek2"/>
        <w:numPr>
          <w:ilvl w:val="1"/>
          <w:numId w:val="1"/>
        </w:numPr>
        <w:tabs>
          <w:tab w:val="left" w:pos="0"/>
        </w:tabs>
      </w:pPr>
      <w:r>
        <w:t>6.5. Zasady postępowania z wadliwie wykonanymi odcinkami podbudowy</w:t>
      </w:r>
    </w:p>
    <w:p w:rsidR="00BF3126" w:rsidRDefault="00BF3126" w:rsidP="00BF3126">
      <w:pPr>
        <w:pStyle w:val="Nagwek2"/>
        <w:numPr>
          <w:ilvl w:val="1"/>
          <w:numId w:val="1"/>
        </w:numPr>
        <w:tabs>
          <w:tab w:val="left" w:pos="0"/>
        </w:tabs>
      </w:pPr>
      <w:r>
        <w:t xml:space="preserve">6.5.1. </w:t>
      </w:r>
      <w:r>
        <w:rPr>
          <w:b w:val="0"/>
        </w:rPr>
        <w:t>Niewłaściwe cechy geometryczne podbudowy</w:t>
      </w:r>
    </w:p>
    <w:p w:rsidR="00BF3126" w:rsidRDefault="00BF3126" w:rsidP="00BF3126">
      <w:r>
        <w:tab/>
        <w:t>Wszystkie powierzchnie podbudowy, które wykazują większe odchylenia cech geometrycznych od określonych w punkcie 6.4, powinny być naprawione. Wszelkie naprawy i dodatkowe badania i pomiary zostaną wykonane na koszt Wykonawcy.</w:t>
      </w:r>
    </w:p>
    <w:p w:rsidR="00BF3126" w:rsidRDefault="00BF3126" w:rsidP="00BF3126">
      <w:pPr>
        <w:rPr>
          <w:b/>
        </w:rPr>
      </w:pPr>
      <w:r>
        <w:tab/>
        <w:t>Jeżeli szerokość podbudowy jest mniejsza od szerokości projektowanej o więcej niż 5 cm i nie zapewni to podparcia warstwom wyżej leżącym, to Wykonawca powinien na własny koszt poszerzyć podbudowę przez spulchnienie warstwy na pełną grubość, do połowy szerokości pasa ruchu (lub pasa postojowego czy utwardzonego pobocza), dołożenie materiału i powtórne zagęszczenie.</w:t>
      </w:r>
    </w:p>
    <w:p w:rsidR="00BF3126" w:rsidRDefault="00BF3126" w:rsidP="00BF3126">
      <w:pPr>
        <w:spacing w:before="120"/>
      </w:pPr>
      <w:r>
        <w:rPr>
          <w:b/>
        </w:rPr>
        <w:t xml:space="preserve">6.5.2. </w:t>
      </w:r>
      <w:r>
        <w:t>Niewłaściwa grubość</w:t>
      </w:r>
    </w:p>
    <w:p w:rsidR="00BF3126" w:rsidRDefault="00BF3126" w:rsidP="00BF3126">
      <w:pPr>
        <w:spacing w:before="120"/>
        <w:rPr>
          <w:b/>
        </w:rPr>
      </w:pPr>
      <w:r>
        <w:lastRenderedPageBreak/>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 Roboty te Wykonawca wykona na własny koszt. Po wykonaniu tych robót nastąpi ponowny pomiar i ocena grubości warstwy. Koszty poniesie Wykonawca.</w:t>
      </w:r>
    </w:p>
    <w:p w:rsidR="00BF3126" w:rsidRDefault="00BF3126" w:rsidP="00BF3126">
      <w:pPr>
        <w:spacing w:before="120"/>
      </w:pPr>
      <w:r>
        <w:rPr>
          <w:b/>
        </w:rPr>
        <w:t xml:space="preserve">6.5.3. </w:t>
      </w:r>
      <w:r>
        <w:t>Niewłaściwa nośność podbudowy</w:t>
      </w:r>
    </w:p>
    <w:p w:rsidR="00BF3126" w:rsidRDefault="00BF3126" w:rsidP="00BF3126">
      <w:pPr>
        <w:spacing w:before="120"/>
      </w:pPr>
      <w:r>
        <w:tab/>
        <w:t>Jeżeli nośność podbudowy będzie mniejsza od wymaganej, to Wykonawca wykona wszelkie roboty niezbędne do zapewnienia wymaganej nośności, zalecone przez Inżyniera.</w:t>
      </w:r>
    </w:p>
    <w:p w:rsidR="00BF3126" w:rsidRDefault="00BF3126" w:rsidP="00BF3126">
      <w:r>
        <w:tab/>
        <w:t>Koszty tych dodatkowych robót poniesie Wykonawca podbudowy tylko wtedy, gdy zaniżenie nośności podbudowy wynikło z niewłaściwego wykonania robót przez Wykonawcę podbudowy.</w:t>
      </w:r>
      <w:r>
        <w:tab/>
      </w:r>
    </w:p>
    <w:p w:rsidR="00BF3126" w:rsidRDefault="00BF3126" w:rsidP="00BF3126">
      <w:pPr>
        <w:pStyle w:val="Nagwek1"/>
        <w:numPr>
          <w:ilvl w:val="0"/>
          <w:numId w:val="1"/>
        </w:numPr>
        <w:tabs>
          <w:tab w:val="left" w:pos="0"/>
        </w:tabs>
      </w:pPr>
      <w:r>
        <w:t>7. OBMIAR ROBÓT</w:t>
      </w:r>
    </w:p>
    <w:p w:rsidR="00BF3126" w:rsidRDefault="00BF3126" w:rsidP="00BF3126">
      <w:pPr>
        <w:pStyle w:val="Nagwek2"/>
        <w:numPr>
          <w:ilvl w:val="1"/>
          <w:numId w:val="1"/>
        </w:numPr>
        <w:tabs>
          <w:tab w:val="left" w:pos="0"/>
        </w:tabs>
      </w:pPr>
      <w:r>
        <w:t>7.1. Ogólne zasady obmiaru robót</w:t>
      </w:r>
    </w:p>
    <w:p w:rsidR="00BF3126" w:rsidRDefault="00BF3126" w:rsidP="00BF3126">
      <w:pPr>
        <w:ind w:right="-11"/>
      </w:pPr>
      <w:r>
        <w:tab/>
        <w:t>Ogólne zasady obmiaru robót podano w OST D-M-00.00.00 „Wymagania ogólne” pkt 7.</w:t>
      </w:r>
    </w:p>
    <w:p w:rsidR="00BF3126" w:rsidRDefault="00BF3126" w:rsidP="00BF3126">
      <w:pPr>
        <w:pStyle w:val="Nagwek2"/>
        <w:numPr>
          <w:ilvl w:val="1"/>
          <w:numId w:val="1"/>
        </w:numPr>
        <w:tabs>
          <w:tab w:val="left" w:pos="0"/>
        </w:tabs>
      </w:pPr>
      <w:r>
        <w:t>7.2. Jednostka obmiarowa</w:t>
      </w:r>
    </w:p>
    <w:p w:rsidR="00BF3126" w:rsidRDefault="00BF3126" w:rsidP="00BF3126">
      <w:pPr>
        <w:ind w:right="-11"/>
      </w:pPr>
      <w:r>
        <w:tab/>
        <w:t>Jednostką obmiarową jest  m</w:t>
      </w:r>
      <w:r>
        <w:rPr>
          <w:vertAlign w:val="superscript"/>
        </w:rPr>
        <w:t>2</w:t>
      </w:r>
      <w:r>
        <w:t xml:space="preserve"> (metr kwadratowy) wykonanej podbudowy z tłucznia kamiennego.</w:t>
      </w:r>
    </w:p>
    <w:p w:rsidR="00BF3126" w:rsidRDefault="00BF3126" w:rsidP="00BF3126">
      <w:pPr>
        <w:pStyle w:val="Nagwek1"/>
        <w:numPr>
          <w:ilvl w:val="0"/>
          <w:numId w:val="1"/>
        </w:numPr>
        <w:tabs>
          <w:tab w:val="left" w:pos="0"/>
        </w:tabs>
      </w:pPr>
      <w:r>
        <w:t>8. ODBIÓR ROBÓT</w:t>
      </w:r>
    </w:p>
    <w:p w:rsidR="00BF3126" w:rsidRDefault="00BF3126" w:rsidP="00BF3126">
      <w:pPr>
        <w:ind w:right="-11"/>
      </w:pPr>
      <w:r>
        <w:tab/>
        <w:t>Ogólne zasady odbioru robót podano w OST D-M-00.00.00 „Wymagania ogólne” pkt 8.</w:t>
      </w:r>
    </w:p>
    <w:p w:rsidR="00BF3126" w:rsidRDefault="00BF3126" w:rsidP="00BF3126">
      <w:pPr>
        <w:ind w:right="-11"/>
      </w:pPr>
      <w:r>
        <w:tab/>
        <w:t>Roboty uznaje się za zgodne z dokumentacją projektową, SST i wymaganiami Inżyniera, jeżeli wszystkie pomiary i badania z zachowaniem tolerancji wg pkt 6 dały wyniki pozytywne.</w:t>
      </w:r>
    </w:p>
    <w:p w:rsidR="00BF3126" w:rsidRDefault="00BF3126" w:rsidP="00BF3126">
      <w:pPr>
        <w:pStyle w:val="Nagwek1"/>
        <w:numPr>
          <w:ilvl w:val="0"/>
          <w:numId w:val="1"/>
        </w:numPr>
        <w:tabs>
          <w:tab w:val="left" w:pos="0"/>
        </w:tabs>
      </w:pPr>
      <w:r>
        <w:t>9. PODSTAWA PŁATNOŚCI</w:t>
      </w:r>
    </w:p>
    <w:p w:rsidR="00BF3126" w:rsidRDefault="00BF3126" w:rsidP="00BF3126">
      <w:pPr>
        <w:pStyle w:val="Nagwek2"/>
        <w:numPr>
          <w:ilvl w:val="1"/>
          <w:numId w:val="1"/>
        </w:numPr>
        <w:tabs>
          <w:tab w:val="left" w:pos="0"/>
        </w:tabs>
      </w:pPr>
      <w:r>
        <w:t>9.1. Ogólne ustalenia dotyczące podstawy płatności</w:t>
      </w:r>
    </w:p>
    <w:p w:rsidR="00BF3126" w:rsidRDefault="00BF3126" w:rsidP="00BF3126">
      <w:pPr>
        <w:ind w:right="-11"/>
      </w:pPr>
      <w:r>
        <w:rPr>
          <w:b/>
        </w:rPr>
        <w:tab/>
      </w:r>
      <w:r>
        <w:t>Ogólne ustalenia dotyczące podstawy płatności podano w OST D-M-00.00.00 „Wymagania ogólne” pkt 9.</w:t>
      </w:r>
    </w:p>
    <w:p w:rsidR="00BF3126" w:rsidRDefault="00BF3126" w:rsidP="00BF3126">
      <w:pPr>
        <w:pStyle w:val="Nagwek2"/>
        <w:numPr>
          <w:ilvl w:val="1"/>
          <w:numId w:val="1"/>
        </w:numPr>
        <w:tabs>
          <w:tab w:val="left" w:pos="0"/>
        </w:tabs>
      </w:pPr>
      <w:r>
        <w:t>9.2. Cena jednostki obmiarowej</w:t>
      </w:r>
    </w:p>
    <w:p w:rsidR="00BF3126" w:rsidRDefault="00BF3126" w:rsidP="00BF3126">
      <w:r>
        <w:tab/>
        <w:t>Cena wykonania 1 m</w:t>
      </w:r>
      <w:r>
        <w:rPr>
          <w:rFonts w:ascii="Arial" w:hAnsi="Arial"/>
        </w:rPr>
        <w:t>³</w:t>
      </w:r>
      <w:r>
        <w:t>podbudowy tłuczniowej obejmuje:</w:t>
      </w:r>
    </w:p>
    <w:p w:rsidR="00BF3126" w:rsidRDefault="00BF3126" w:rsidP="00BF3126">
      <w:pPr>
        <w:numPr>
          <w:ilvl w:val="0"/>
          <w:numId w:val="2"/>
        </w:numPr>
        <w:tabs>
          <w:tab w:val="left" w:pos="283"/>
        </w:tabs>
      </w:pPr>
      <w:r>
        <w:t>prace pomiarowe i roboty przygotowawcze,</w:t>
      </w:r>
    </w:p>
    <w:p w:rsidR="00BF3126" w:rsidRDefault="00BF3126" w:rsidP="00BF3126">
      <w:pPr>
        <w:numPr>
          <w:ilvl w:val="0"/>
          <w:numId w:val="2"/>
        </w:numPr>
        <w:tabs>
          <w:tab w:val="left" w:pos="283"/>
        </w:tabs>
      </w:pPr>
      <w:r>
        <w:t>oznakowanie robót,</w:t>
      </w:r>
    </w:p>
    <w:p w:rsidR="00BF3126" w:rsidRDefault="00BF3126" w:rsidP="00BF3126">
      <w:pPr>
        <w:numPr>
          <w:ilvl w:val="0"/>
          <w:numId w:val="2"/>
        </w:numPr>
        <w:tabs>
          <w:tab w:val="left" w:pos="283"/>
        </w:tabs>
      </w:pPr>
      <w:r>
        <w:t>przygotowanie podłoża,</w:t>
      </w:r>
    </w:p>
    <w:p w:rsidR="00BF3126" w:rsidRDefault="00BF3126" w:rsidP="00BF3126">
      <w:pPr>
        <w:numPr>
          <w:ilvl w:val="0"/>
          <w:numId w:val="2"/>
        </w:numPr>
        <w:tabs>
          <w:tab w:val="left" w:pos="283"/>
        </w:tabs>
      </w:pPr>
      <w:r>
        <w:t>dostarczenie materiałów na miejsce wbudowania,</w:t>
      </w:r>
    </w:p>
    <w:p w:rsidR="00BF3126" w:rsidRDefault="00BF3126" w:rsidP="00BF3126">
      <w:pPr>
        <w:numPr>
          <w:ilvl w:val="0"/>
          <w:numId w:val="2"/>
        </w:numPr>
        <w:tabs>
          <w:tab w:val="left" w:pos="283"/>
        </w:tabs>
      </w:pPr>
      <w:r>
        <w:t>rozłożenie kruszywa,</w:t>
      </w:r>
    </w:p>
    <w:p w:rsidR="00BF3126" w:rsidRDefault="00BF3126" w:rsidP="00BF3126">
      <w:pPr>
        <w:numPr>
          <w:ilvl w:val="0"/>
          <w:numId w:val="2"/>
        </w:numPr>
        <w:tabs>
          <w:tab w:val="left" w:pos="283"/>
        </w:tabs>
      </w:pPr>
      <w:r>
        <w:t>zagęszczenie warstw z zaklinowaniem,</w:t>
      </w:r>
    </w:p>
    <w:p w:rsidR="00BF3126" w:rsidRDefault="00BF3126" w:rsidP="00BF3126">
      <w:pPr>
        <w:numPr>
          <w:ilvl w:val="0"/>
          <w:numId w:val="2"/>
        </w:numPr>
        <w:tabs>
          <w:tab w:val="left" w:pos="283"/>
        </w:tabs>
      </w:pPr>
      <w:r>
        <w:t>przeprowadzenie pomiarów i badań laboratoryjnych określonych w specyfikacji technicznej,</w:t>
      </w:r>
    </w:p>
    <w:p w:rsidR="00BF3126" w:rsidRDefault="00BF3126" w:rsidP="00BF3126">
      <w:pPr>
        <w:numPr>
          <w:ilvl w:val="0"/>
          <w:numId w:val="2"/>
        </w:numPr>
        <w:tabs>
          <w:tab w:val="left" w:pos="283"/>
        </w:tabs>
      </w:pPr>
      <w:r>
        <w:t>utrzymanie podbudowy w czasie robót.</w:t>
      </w:r>
    </w:p>
    <w:p w:rsidR="00BF3126" w:rsidRDefault="00BF3126" w:rsidP="00BF3126">
      <w:pPr>
        <w:pStyle w:val="Nagwek1"/>
        <w:numPr>
          <w:ilvl w:val="0"/>
          <w:numId w:val="1"/>
        </w:numPr>
        <w:tabs>
          <w:tab w:val="left" w:pos="0"/>
        </w:tabs>
      </w:pPr>
      <w:r>
        <w:t>10. przepisy związane</w:t>
      </w:r>
    </w:p>
    <w:p w:rsidR="00BF3126" w:rsidRDefault="00BF3126" w:rsidP="00BF3126">
      <w:pPr>
        <w:pStyle w:val="Nagwek2"/>
        <w:numPr>
          <w:ilvl w:val="1"/>
          <w:numId w:val="1"/>
        </w:numPr>
        <w:tabs>
          <w:tab w:val="left" w:pos="0"/>
        </w:tabs>
      </w:pPr>
      <w:r>
        <w:t>10.1. Normy</w:t>
      </w:r>
    </w:p>
    <w:tbl>
      <w:tblPr>
        <w:tblW w:w="0" w:type="auto"/>
        <w:tblLayout w:type="fixed"/>
        <w:tblCellMar>
          <w:left w:w="70" w:type="dxa"/>
          <w:right w:w="70" w:type="dxa"/>
        </w:tblCellMar>
        <w:tblLook w:val="04A0" w:firstRow="1" w:lastRow="0" w:firstColumn="1" w:lastColumn="0" w:noHBand="0" w:noVBand="1"/>
      </w:tblPr>
      <w:tblGrid>
        <w:gridCol w:w="637"/>
        <w:gridCol w:w="1843"/>
        <w:gridCol w:w="5029"/>
      </w:tblGrid>
      <w:tr w:rsidR="00BF3126" w:rsidTr="00BF3126">
        <w:tc>
          <w:tcPr>
            <w:tcW w:w="637" w:type="dxa"/>
            <w:hideMark/>
          </w:tcPr>
          <w:p w:rsidR="00BF3126" w:rsidRDefault="00BF3126">
            <w:pPr>
              <w:snapToGrid w:val="0"/>
              <w:jc w:val="center"/>
            </w:pPr>
            <w:r>
              <w:t xml:space="preserve">  1.</w:t>
            </w:r>
          </w:p>
        </w:tc>
        <w:tc>
          <w:tcPr>
            <w:tcW w:w="1843" w:type="dxa"/>
            <w:hideMark/>
          </w:tcPr>
          <w:p w:rsidR="00BF3126" w:rsidRDefault="00BF3126">
            <w:pPr>
              <w:snapToGrid w:val="0"/>
            </w:pPr>
            <w:r>
              <w:t>PN-B-06714-12</w:t>
            </w:r>
          </w:p>
        </w:tc>
        <w:tc>
          <w:tcPr>
            <w:tcW w:w="5029" w:type="dxa"/>
            <w:hideMark/>
          </w:tcPr>
          <w:p w:rsidR="00BF3126" w:rsidRDefault="00BF3126">
            <w:pPr>
              <w:snapToGrid w:val="0"/>
            </w:pPr>
            <w:r>
              <w:t>Kruszywa mineralne. Badania. Oznaczanie zawartości zanieczyszczeń obcych</w:t>
            </w:r>
          </w:p>
        </w:tc>
      </w:tr>
      <w:tr w:rsidR="00BF3126" w:rsidTr="00BF3126">
        <w:tc>
          <w:tcPr>
            <w:tcW w:w="637" w:type="dxa"/>
            <w:hideMark/>
          </w:tcPr>
          <w:p w:rsidR="00BF3126" w:rsidRDefault="00BF3126">
            <w:pPr>
              <w:snapToGrid w:val="0"/>
              <w:jc w:val="center"/>
            </w:pPr>
            <w:r>
              <w:t xml:space="preserve">  2.</w:t>
            </w:r>
          </w:p>
        </w:tc>
        <w:tc>
          <w:tcPr>
            <w:tcW w:w="1843" w:type="dxa"/>
            <w:hideMark/>
          </w:tcPr>
          <w:p w:rsidR="00BF3126" w:rsidRDefault="00BF3126">
            <w:pPr>
              <w:snapToGrid w:val="0"/>
            </w:pPr>
            <w:r>
              <w:t>PN-B-06714-15</w:t>
            </w:r>
          </w:p>
        </w:tc>
        <w:tc>
          <w:tcPr>
            <w:tcW w:w="5029" w:type="dxa"/>
            <w:hideMark/>
          </w:tcPr>
          <w:p w:rsidR="00BF3126" w:rsidRDefault="00BF3126">
            <w:pPr>
              <w:snapToGrid w:val="0"/>
            </w:pPr>
            <w:r>
              <w:t>Kruszywa mineralne. Badania. Oznaczanie składu ziarnowego</w:t>
            </w:r>
          </w:p>
        </w:tc>
      </w:tr>
      <w:tr w:rsidR="00BF3126" w:rsidTr="00BF3126">
        <w:tc>
          <w:tcPr>
            <w:tcW w:w="637" w:type="dxa"/>
            <w:hideMark/>
          </w:tcPr>
          <w:p w:rsidR="00BF3126" w:rsidRDefault="00BF3126">
            <w:pPr>
              <w:snapToGrid w:val="0"/>
              <w:jc w:val="center"/>
            </w:pPr>
            <w:r>
              <w:t xml:space="preserve">  3.</w:t>
            </w:r>
          </w:p>
        </w:tc>
        <w:tc>
          <w:tcPr>
            <w:tcW w:w="1843" w:type="dxa"/>
            <w:hideMark/>
          </w:tcPr>
          <w:p w:rsidR="00BF3126" w:rsidRDefault="00BF3126">
            <w:pPr>
              <w:snapToGrid w:val="0"/>
            </w:pPr>
            <w:r>
              <w:t>PN-B-06714-16</w:t>
            </w:r>
          </w:p>
        </w:tc>
        <w:tc>
          <w:tcPr>
            <w:tcW w:w="5029" w:type="dxa"/>
            <w:hideMark/>
          </w:tcPr>
          <w:p w:rsidR="00BF3126" w:rsidRDefault="00BF3126">
            <w:pPr>
              <w:snapToGrid w:val="0"/>
            </w:pPr>
            <w:r>
              <w:t xml:space="preserve">Kruszywa mineralne. Badania. Oznaczanie kształtu </w:t>
            </w:r>
            <w:proofErr w:type="spellStart"/>
            <w:r>
              <w:t>ziarn</w:t>
            </w:r>
            <w:proofErr w:type="spellEnd"/>
          </w:p>
        </w:tc>
      </w:tr>
      <w:tr w:rsidR="00BF3126" w:rsidTr="00BF3126">
        <w:tc>
          <w:tcPr>
            <w:tcW w:w="637" w:type="dxa"/>
            <w:hideMark/>
          </w:tcPr>
          <w:p w:rsidR="00BF3126" w:rsidRDefault="00BF3126">
            <w:pPr>
              <w:snapToGrid w:val="0"/>
              <w:jc w:val="center"/>
            </w:pPr>
            <w:r>
              <w:t xml:space="preserve">  4.</w:t>
            </w:r>
          </w:p>
        </w:tc>
        <w:tc>
          <w:tcPr>
            <w:tcW w:w="1843" w:type="dxa"/>
            <w:hideMark/>
          </w:tcPr>
          <w:p w:rsidR="00BF3126" w:rsidRDefault="00BF3126">
            <w:pPr>
              <w:snapToGrid w:val="0"/>
            </w:pPr>
            <w:r>
              <w:t>PN-B-06714-18</w:t>
            </w:r>
          </w:p>
        </w:tc>
        <w:tc>
          <w:tcPr>
            <w:tcW w:w="5029" w:type="dxa"/>
            <w:hideMark/>
          </w:tcPr>
          <w:p w:rsidR="00BF3126" w:rsidRDefault="00BF3126">
            <w:pPr>
              <w:snapToGrid w:val="0"/>
            </w:pPr>
            <w:r>
              <w:t>Kruszywa mineralne. Badania. Oznaczanie nasiąkliwości</w:t>
            </w:r>
          </w:p>
        </w:tc>
      </w:tr>
      <w:tr w:rsidR="00BF3126" w:rsidTr="00BF3126">
        <w:tc>
          <w:tcPr>
            <w:tcW w:w="637" w:type="dxa"/>
            <w:hideMark/>
          </w:tcPr>
          <w:p w:rsidR="00BF3126" w:rsidRDefault="00BF3126">
            <w:pPr>
              <w:snapToGrid w:val="0"/>
              <w:jc w:val="center"/>
            </w:pPr>
            <w:r>
              <w:t xml:space="preserve">  5.</w:t>
            </w:r>
          </w:p>
        </w:tc>
        <w:tc>
          <w:tcPr>
            <w:tcW w:w="1843" w:type="dxa"/>
            <w:hideMark/>
          </w:tcPr>
          <w:p w:rsidR="00BF3126" w:rsidRDefault="00BF3126">
            <w:pPr>
              <w:snapToGrid w:val="0"/>
            </w:pPr>
            <w:r>
              <w:t>PN-B-06714-19</w:t>
            </w:r>
          </w:p>
        </w:tc>
        <w:tc>
          <w:tcPr>
            <w:tcW w:w="5029" w:type="dxa"/>
            <w:hideMark/>
          </w:tcPr>
          <w:p w:rsidR="00BF3126" w:rsidRDefault="00BF3126">
            <w:pPr>
              <w:snapToGrid w:val="0"/>
            </w:pPr>
            <w:r>
              <w:t>Kruszywa mineralne. Badania. Oznaczanie mrozoodporności metodą bezpośrednią</w:t>
            </w:r>
          </w:p>
        </w:tc>
      </w:tr>
      <w:tr w:rsidR="00BF3126" w:rsidTr="00BF3126">
        <w:tc>
          <w:tcPr>
            <w:tcW w:w="637" w:type="dxa"/>
            <w:hideMark/>
          </w:tcPr>
          <w:p w:rsidR="00BF3126" w:rsidRDefault="00BF3126">
            <w:pPr>
              <w:snapToGrid w:val="0"/>
              <w:jc w:val="center"/>
            </w:pPr>
            <w:r>
              <w:t xml:space="preserve">  6.</w:t>
            </w:r>
          </w:p>
        </w:tc>
        <w:tc>
          <w:tcPr>
            <w:tcW w:w="1843" w:type="dxa"/>
            <w:hideMark/>
          </w:tcPr>
          <w:p w:rsidR="00BF3126" w:rsidRDefault="00BF3126">
            <w:pPr>
              <w:snapToGrid w:val="0"/>
            </w:pPr>
            <w:r>
              <w:t>PN-B-06714-26</w:t>
            </w:r>
          </w:p>
        </w:tc>
        <w:tc>
          <w:tcPr>
            <w:tcW w:w="5029" w:type="dxa"/>
            <w:hideMark/>
          </w:tcPr>
          <w:p w:rsidR="00BF3126" w:rsidRDefault="00BF3126">
            <w:pPr>
              <w:snapToGrid w:val="0"/>
            </w:pPr>
            <w:r>
              <w:t>Kruszywa mineralne. Badania. Oznaczanie zawartości zanieczyszczeń organicznych</w:t>
            </w:r>
          </w:p>
        </w:tc>
      </w:tr>
      <w:tr w:rsidR="00BF3126" w:rsidTr="00BF3126">
        <w:tc>
          <w:tcPr>
            <w:tcW w:w="637" w:type="dxa"/>
            <w:hideMark/>
          </w:tcPr>
          <w:p w:rsidR="00BF3126" w:rsidRDefault="00BF3126">
            <w:pPr>
              <w:snapToGrid w:val="0"/>
              <w:jc w:val="center"/>
            </w:pPr>
            <w:r>
              <w:t xml:space="preserve">  7.</w:t>
            </w:r>
          </w:p>
        </w:tc>
        <w:tc>
          <w:tcPr>
            <w:tcW w:w="1843" w:type="dxa"/>
            <w:hideMark/>
          </w:tcPr>
          <w:p w:rsidR="00BF3126" w:rsidRDefault="00BF3126">
            <w:pPr>
              <w:snapToGrid w:val="0"/>
            </w:pPr>
            <w:r>
              <w:t>PN-B-06714-42</w:t>
            </w:r>
          </w:p>
        </w:tc>
        <w:tc>
          <w:tcPr>
            <w:tcW w:w="5029" w:type="dxa"/>
            <w:hideMark/>
          </w:tcPr>
          <w:p w:rsidR="00BF3126" w:rsidRDefault="00BF3126">
            <w:pPr>
              <w:snapToGrid w:val="0"/>
            </w:pPr>
            <w:r>
              <w:t>Kruszywa mineralne. Badania. Oznaczanie ścieralności w bębnie Los Angeles</w:t>
            </w:r>
          </w:p>
        </w:tc>
      </w:tr>
      <w:tr w:rsidR="00BF3126" w:rsidTr="00BF3126">
        <w:tc>
          <w:tcPr>
            <w:tcW w:w="637" w:type="dxa"/>
            <w:hideMark/>
          </w:tcPr>
          <w:p w:rsidR="00BF3126" w:rsidRDefault="00BF3126">
            <w:pPr>
              <w:snapToGrid w:val="0"/>
              <w:jc w:val="center"/>
            </w:pPr>
            <w:r>
              <w:t xml:space="preserve">  8.</w:t>
            </w:r>
          </w:p>
        </w:tc>
        <w:tc>
          <w:tcPr>
            <w:tcW w:w="1843" w:type="dxa"/>
            <w:hideMark/>
          </w:tcPr>
          <w:p w:rsidR="00BF3126" w:rsidRDefault="00BF3126">
            <w:pPr>
              <w:snapToGrid w:val="0"/>
            </w:pPr>
            <w:r>
              <w:t>PN-B-11112</w:t>
            </w:r>
          </w:p>
        </w:tc>
        <w:tc>
          <w:tcPr>
            <w:tcW w:w="5029" w:type="dxa"/>
            <w:hideMark/>
          </w:tcPr>
          <w:p w:rsidR="00BF3126" w:rsidRDefault="00BF3126">
            <w:pPr>
              <w:snapToGrid w:val="0"/>
            </w:pPr>
            <w:r>
              <w:t>Kruszywo mineralne. Kruszywo łamane do nawierzchni drogowych</w:t>
            </w:r>
          </w:p>
        </w:tc>
      </w:tr>
      <w:tr w:rsidR="00BF3126" w:rsidTr="00BF3126">
        <w:tc>
          <w:tcPr>
            <w:tcW w:w="637" w:type="dxa"/>
            <w:hideMark/>
          </w:tcPr>
          <w:p w:rsidR="00BF3126" w:rsidRDefault="00BF3126">
            <w:pPr>
              <w:snapToGrid w:val="0"/>
              <w:jc w:val="center"/>
            </w:pPr>
            <w:r>
              <w:lastRenderedPageBreak/>
              <w:t xml:space="preserve">  9.</w:t>
            </w:r>
          </w:p>
        </w:tc>
        <w:tc>
          <w:tcPr>
            <w:tcW w:w="1843" w:type="dxa"/>
            <w:hideMark/>
          </w:tcPr>
          <w:p w:rsidR="00BF3126" w:rsidRDefault="00BF3126">
            <w:pPr>
              <w:snapToGrid w:val="0"/>
            </w:pPr>
            <w:r>
              <w:t>PN-S-96023</w:t>
            </w:r>
          </w:p>
        </w:tc>
        <w:tc>
          <w:tcPr>
            <w:tcW w:w="5029" w:type="dxa"/>
            <w:hideMark/>
          </w:tcPr>
          <w:p w:rsidR="00BF3126" w:rsidRDefault="00BF3126">
            <w:pPr>
              <w:snapToGrid w:val="0"/>
            </w:pPr>
            <w:r>
              <w:t>Konstrukcje drogowe. Podbudowa i nawierzchnia z tłucznia kamiennego</w:t>
            </w:r>
          </w:p>
        </w:tc>
      </w:tr>
      <w:tr w:rsidR="00BF3126" w:rsidTr="00BF3126">
        <w:tc>
          <w:tcPr>
            <w:tcW w:w="637" w:type="dxa"/>
            <w:hideMark/>
          </w:tcPr>
          <w:p w:rsidR="00BF3126" w:rsidRDefault="00BF3126">
            <w:pPr>
              <w:snapToGrid w:val="0"/>
              <w:jc w:val="center"/>
            </w:pPr>
            <w:r>
              <w:t>10.</w:t>
            </w:r>
          </w:p>
        </w:tc>
        <w:tc>
          <w:tcPr>
            <w:tcW w:w="1843" w:type="dxa"/>
            <w:hideMark/>
          </w:tcPr>
          <w:p w:rsidR="00BF3126" w:rsidRDefault="00BF3126">
            <w:pPr>
              <w:snapToGrid w:val="0"/>
            </w:pPr>
            <w:r>
              <w:t>BN-64/8931-02</w:t>
            </w:r>
          </w:p>
        </w:tc>
        <w:tc>
          <w:tcPr>
            <w:tcW w:w="5029" w:type="dxa"/>
            <w:hideMark/>
          </w:tcPr>
          <w:p w:rsidR="00BF3126" w:rsidRDefault="00BF3126">
            <w:pPr>
              <w:snapToGrid w:val="0"/>
            </w:pPr>
            <w:r>
              <w:t>Drogi samochodowe. Oznaczanie modułu odkształcenia nawierzchni podatnych i podłoża przez obciążenie płytą</w:t>
            </w:r>
          </w:p>
        </w:tc>
      </w:tr>
      <w:tr w:rsidR="00BF3126" w:rsidTr="00BF3126">
        <w:tc>
          <w:tcPr>
            <w:tcW w:w="637" w:type="dxa"/>
            <w:hideMark/>
          </w:tcPr>
          <w:p w:rsidR="00BF3126" w:rsidRDefault="00BF3126">
            <w:pPr>
              <w:snapToGrid w:val="0"/>
              <w:jc w:val="center"/>
            </w:pPr>
            <w:r>
              <w:t>11.</w:t>
            </w:r>
          </w:p>
        </w:tc>
        <w:tc>
          <w:tcPr>
            <w:tcW w:w="1843" w:type="dxa"/>
            <w:hideMark/>
          </w:tcPr>
          <w:p w:rsidR="00BF3126" w:rsidRDefault="00BF3126">
            <w:pPr>
              <w:snapToGrid w:val="0"/>
            </w:pPr>
            <w:r>
              <w:t>BN-68/8931-04</w:t>
            </w:r>
          </w:p>
        </w:tc>
        <w:tc>
          <w:tcPr>
            <w:tcW w:w="5029" w:type="dxa"/>
            <w:hideMark/>
          </w:tcPr>
          <w:p w:rsidR="00BF3126" w:rsidRDefault="00BF3126">
            <w:pPr>
              <w:snapToGrid w:val="0"/>
            </w:pPr>
            <w:r>
              <w:t xml:space="preserve">Drogi samochodowe. Pomiar równości nawierzchni </w:t>
            </w:r>
            <w:proofErr w:type="spellStart"/>
            <w:r>
              <w:t>planografem</w:t>
            </w:r>
            <w:proofErr w:type="spellEnd"/>
            <w:r>
              <w:t xml:space="preserve"> i łatą.</w:t>
            </w:r>
          </w:p>
        </w:tc>
      </w:tr>
    </w:tbl>
    <w:p w:rsidR="00BF3126" w:rsidRDefault="00BF3126" w:rsidP="00BF3126"/>
    <w:p w:rsidR="00BF3126" w:rsidRDefault="00BF3126" w:rsidP="00BF3126">
      <w:pPr>
        <w:pStyle w:val="Nagwek2"/>
        <w:numPr>
          <w:ilvl w:val="1"/>
          <w:numId w:val="1"/>
        </w:numPr>
        <w:tabs>
          <w:tab w:val="left" w:pos="0"/>
        </w:tabs>
      </w:pPr>
      <w:r>
        <w:t>10.2. Inne dokumenty</w:t>
      </w:r>
    </w:p>
    <w:p w:rsidR="00BF3126" w:rsidRDefault="00BF3126" w:rsidP="00BF3126">
      <w:r>
        <w:tab/>
        <w:t>Nie występują.</w:t>
      </w:r>
    </w:p>
    <w:p w:rsidR="004F0652" w:rsidRDefault="00AE12C8"/>
    <w:sectPr w:rsidR="004F0652" w:rsidSect="00184CE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2C8" w:rsidRDefault="00AE12C8" w:rsidP="00EB2747">
      <w:r>
        <w:separator/>
      </w:r>
    </w:p>
  </w:endnote>
  <w:endnote w:type="continuationSeparator" w:id="0">
    <w:p w:rsidR="00AE12C8" w:rsidRDefault="00AE12C8" w:rsidP="00EB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688169"/>
      <w:docPartObj>
        <w:docPartGallery w:val="Page Numbers (Bottom of Page)"/>
        <w:docPartUnique/>
      </w:docPartObj>
    </w:sdtPr>
    <w:sdtContent>
      <w:p w:rsidR="00EB2747" w:rsidRDefault="00EB2747">
        <w:pPr>
          <w:pStyle w:val="Stopka"/>
          <w:jc w:val="right"/>
        </w:pPr>
        <w:r>
          <w:fldChar w:fldCharType="begin"/>
        </w:r>
        <w:r>
          <w:instrText>PAGE   \* MERGEFORMAT</w:instrText>
        </w:r>
        <w:r>
          <w:fldChar w:fldCharType="separate"/>
        </w:r>
        <w:r>
          <w:rPr>
            <w:noProof/>
          </w:rPr>
          <w:t>1</w:t>
        </w:r>
        <w:r>
          <w:fldChar w:fldCharType="end"/>
        </w:r>
      </w:p>
    </w:sdtContent>
  </w:sdt>
  <w:p w:rsidR="00EB2747" w:rsidRDefault="00EB27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2C8" w:rsidRDefault="00AE12C8" w:rsidP="00EB2747">
      <w:r>
        <w:separator/>
      </w:r>
    </w:p>
  </w:footnote>
  <w:footnote w:type="continuationSeparator" w:id="0">
    <w:p w:rsidR="00AE12C8" w:rsidRDefault="00AE12C8" w:rsidP="00EB2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numFmt w:val="bullet"/>
      <w:pStyle w:val="Nagwek2"/>
      <w:lvlText w:val=""/>
      <w:lvlJc w:val="left"/>
      <w:pPr>
        <w:tabs>
          <w:tab w:val="num" w:pos="283"/>
        </w:tabs>
        <w:ind w:left="283" w:hanging="283"/>
      </w:pPr>
      <w:rPr>
        <w:rFonts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26"/>
    <w:rsid w:val="00184CE7"/>
    <w:rsid w:val="00650566"/>
    <w:rsid w:val="007922F8"/>
    <w:rsid w:val="00AE12C8"/>
    <w:rsid w:val="00BE512B"/>
    <w:rsid w:val="00BF3126"/>
    <w:rsid w:val="00E85125"/>
    <w:rsid w:val="00EB2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47438-DB44-4974-880B-68F49DB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3126"/>
    <w:pPr>
      <w:suppressAutoHyphens/>
      <w:overflowPunct w:val="0"/>
      <w:autoSpaceDE w:val="0"/>
      <w:spacing w:after="0" w:line="240" w:lineRule="auto"/>
      <w:jc w:val="both"/>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BF3126"/>
    <w:pPr>
      <w:keepNext/>
      <w:keepLines/>
      <w:tabs>
        <w:tab w:val="num" w:pos="283"/>
      </w:tabs>
      <w:spacing w:before="240" w:after="120"/>
      <w:ind w:left="283" w:hanging="283"/>
      <w:outlineLvl w:val="0"/>
    </w:pPr>
    <w:rPr>
      <w:b/>
      <w:caps/>
      <w:kern w:val="2"/>
    </w:rPr>
  </w:style>
  <w:style w:type="paragraph" w:styleId="Nagwek2">
    <w:name w:val="heading 2"/>
    <w:basedOn w:val="Normalny"/>
    <w:next w:val="Normalny"/>
    <w:link w:val="Nagwek2Znak"/>
    <w:semiHidden/>
    <w:unhideWhenUsed/>
    <w:qFormat/>
    <w:rsid w:val="00BF3126"/>
    <w:pPr>
      <w:keepNext/>
      <w:numPr>
        <w:ilvl w:val="1"/>
        <w:numId w:val="2"/>
      </w:numPr>
      <w:spacing w:before="120" w:after="120"/>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3126"/>
    <w:rPr>
      <w:rFonts w:ascii="Times New Roman" w:eastAsia="Times New Roman" w:hAnsi="Times New Roman" w:cs="Times New Roman"/>
      <w:b/>
      <w:caps/>
      <w:kern w:val="2"/>
      <w:sz w:val="20"/>
      <w:szCs w:val="20"/>
      <w:lang w:eastAsia="ar-SA"/>
    </w:rPr>
  </w:style>
  <w:style w:type="character" w:customStyle="1" w:styleId="Nagwek2Znak">
    <w:name w:val="Nagłówek 2 Znak"/>
    <w:basedOn w:val="Domylnaczcionkaakapitu"/>
    <w:link w:val="Nagwek2"/>
    <w:semiHidden/>
    <w:rsid w:val="00BF3126"/>
    <w:rPr>
      <w:rFonts w:ascii="Times New Roman" w:eastAsia="Times New Roman" w:hAnsi="Times New Roman" w:cs="Times New Roman"/>
      <w:b/>
      <w:sz w:val="20"/>
      <w:szCs w:val="20"/>
      <w:lang w:eastAsia="ar-SA"/>
    </w:rPr>
  </w:style>
  <w:style w:type="paragraph" w:styleId="Spistreci1">
    <w:name w:val="toc 1"/>
    <w:basedOn w:val="Normalny"/>
    <w:next w:val="Normalny"/>
    <w:autoRedefine/>
    <w:semiHidden/>
    <w:unhideWhenUsed/>
    <w:rsid w:val="00BF3126"/>
    <w:pPr>
      <w:tabs>
        <w:tab w:val="right" w:leader="dot" w:pos="7371"/>
      </w:tabs>
      <w:spacing w:before="120" w:after="120"/>
      <w:jc w:val="left"/>
    </w:pPr>
    <w:rPr>
      <w:b/>
      <w:caps/>
    </w:rPr>
  </w:style>
  <w:style w:type="paragraph" w:styleId="Spistreci2">
    <w:name w:val="toc 2"/>
    <w:basedOn w:val="Normalny"/>
    <w:next w:val="Normalny"/>
    <w:autoRedefine/>
    <w:semiHidden/>
    <w:unhideWhenUsed/>
    <w:rsid w:val="00BF3126"/>
    <w:pPr>
      <w:tabs>
        <w:tab w:val="right" w:leader="dot" w:pos="7371"/>
      </w:tabs>
      <w:ind w:left="200"/>
      <w:jc w:val="left"/>
    </w:pPr>
  </w:style>
  <w:style w:type="paragraph" w:styleId="Tekstpodstawowy">
    <w:name w:val="Body Text"/>
    <w:basedOn w:val="Normalny"/>
    <w:link w:val="TekstpodstawowyZnak"/>
    <w:semiHidden/>
    <w:unhideWhenUsed/>
    <w:rsid w:val="00BF3126"/>
    <w:pPr>
      <w:spacing w:after="120"/>
    </w:pPr>
  </w:style>
  <w:style w:type="character" w:customStyle="1" w:styleId="TekstpodstawowyZnak">
    <w:name w:val="Tekst podstawowy Znak"/>
    <w:basedOn w:val="Domylnaczcionkaakapitu"/>
    <w:link w:val="Tekstpodstawowy"/>
    <w:semiHidden/>
    <w:rsid w:val="00BF3126"/>
    <w:rPr>
      <w:rFonts w:ascii="Times New Roman" w:eastAsia="Times New Roman" w:hAnsi="Times New Roman" w:cs="Times New Roman"/>
      <w:sz w:val="20"/>
      <w:szCs w:val="20"/>
      <w:lang w:eastAsia="ar-SA"/>
    </w:rPr>
  </w:style>
  <w:style w:type="paragraph" w:customStyle="1" w:styleId="tekstost">
    <w:name w:val="tekst ost"/>
    <w:basedOn w:val="Normalny"/>
    <w:rsid w:val="00BF3126"/>
  </w:style>
  <w:style w:type="paragraph" w:customStyle="1" w:styleId="Tekstpodstawowywcity21">
    <w:name w:val="Tekst podstawowy wcięty 21"/>
    <w:basedOn w:val="Normalny"/>
    <w:rsid w:val="00BF3126"/>
    <w:pPr>
      <w:ind w:left="2124" w:hanging="2124"/>
    </w:pPr>
    <w:rPr>
      <w:rFonts w:cs="Tahoma"/>
      <w:iCs/>
    </w:rPr>
  </w:style>
  <w:style w:type="paragraph" w:styleId="Nagwek">
    <w:name w:val="header"/>
    <w:basedOn w:val="Normalny"/>
    <w:link w:val="NagwekZnak"/>
    <w:uiPriority w:val="99"/>
    <w:unhideWhenUsed/>
    <w:rsid w:val="00EB2747"/>
    <w:pPr>
      <w:tabs>
        <w:tab w:val="center" w:pos="4536"/>
        <w:tab w:val="right" w:pos="9072"/>
      </w:tabs>
    </w:pPr>
  </w:style>
  <w:style w:type="character" w:customStyle="1" w:styleId="NagwekZnak">
    <w:name w:val="Nagłówek Znak"/>
    <w:basedOn w:val="Domylnaczcionkaakapitu"/>
    <w:link w:val="Nagwek"/>
    <w:uiPriority w:val="99"/>
    <w:rsid w:val="00EB2747"/>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B2747"/>
    <w:pPr>
      <w:tabs>
        <w:tab w:val="center" w:pos="4536"/>
        <w:tab w:val="right" w:pos="9072"/>
      </w:tabs>
    </w:pPr>
  </w:style>
  <w:style w:type="character" w:customStyle="1" w:styleId="StopkaZnak">
    <w:name w:val="Stopka Znak"/>
    <w:basedOn w:val="Domylnaczcionkaakapitu"/>
    <w:link w:val="Stopka"/>
    <w:uiPriority w:val="99"/>
    <w:rsid w:val="00EB274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9607">
      <w:bodyDiv w:val="1"/>
      <w:marLeft w:val="0"/>
      <w:marRight w:val="0"/>
      <w:marTop w:val="0"/>
      <w:marBottom w:val="0"/>
      <w:divBdr>
        <w:top w:val="none" w:sz="0" w:space="0" w:color="auto"/>
        <w:left w:val="none" w:sz="0" w:space="0" w:color="auto"/>
        <w:bottom w:val="none" w:sz="0" w:space="0" w:color="auto"/>
        <w:right w:val="none" w:sz="0" w:space="0" w:color="auto"/>
      </w:divBdr>
    </w:div>
    <w:div w:id="9578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3117</Words>
  <Characters>18702</Characters>
  <Application>Microsoft Office Word</Application>
  <DocSecurity>0</DocSecurity>
  <Lines>155</Lines>
  <Paragraphs>43</Paragraphs>
  <ScaleCrop>false</ScaleCrop>
  <Company/>
  <LinksUpToDate>false</LinksUpToDate>
  <CharactersWithSpaces>21776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5</cp:revision>
  <dcterms:created xsi:type="dcterms:W3CDTF">2019-03-22T09:58:00Z</dcterms:created>
  <dcterms:modified xsi:type="dcterms:W3CDTF">2019-03-22T10:09:00Z</dcterms:modified>
</cp:coreProperties>
</file>